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5820B" w14:textId="77777777" w:rsidR="003641D9" w:rsidRDefault="003641D9" w:rsidP="003641D9">
      <w:pPr>
        <w:pStyle w:val="TYTUAKTUprzedmiotregulacjiustawylubrozporzdzenia"/>
      </w:pPr>
      <w:r w:rsidRPr="00304EA3">
        <w:t>Uzasadnienie</w:t>
      </w:r>
    </w:p>
    <w:p w14:paraId="3EFAAC0C" w14:textId="75D5F898" w:rsidR="003641D9" w:rsidRDefault="003641D9" w:rsidP="003641D9">
      <w:pPr>
        <w:pStyle w:val="NIEARTTEKSTtekstnieartykuowanynppodstprawnarozplubpreambua"/>
      </w:pPr>
      <w:r w:rsidRPr="001F517C">
        <w:t>Projektowana zmiana ustawy z dnia 25 sierpnia 2006 r. o bezpieczeństwie żywności i żywienia (Dz. U. z 2023 r. poz. 1448</w:t>
      </w:r>
      <w:r w:rsidR="00EE60BD">
        <w:t xml:space="preserve"> oraz z 2025 r. poz. 1424</w:t>
      </w:r>
      <w:r w:rsidRPr="001F517C">
        <w:t xml:space="preserve">), zwanej dalej „ustawą”, </w:t>
      </w:r>
      <w:r>
        <w:t xml:space="preserve">wynika z potrzeby </w:t>
      </w:r>
      <w:r w:rsidRPr="00983DE0">
        <w:t>wprowadz</w:t>
      </w:r>
      <w:r>
        <w:t xml:space="preserve">enia </w:t>
      </w:r>
      <w:r w:rsidRPr="00983DE0">
        <w:t>zmian</w:t>
      </w:r>
      <w:r>
        <w:t xml:space="preserve"> w celu</w:t>
      </w:r>
      <w:r w:rsidRPr="00983DE0">
        <w:t xml:space="preserve"> zapewnienia stosowania przepisów rozporządzenia Parlamentu Europejskiego i Rady (UE) 2017/625 z dnia 15 marca 2017 r. w sprawie kontroli urzędowych i innych czynności urzędowych przeprowadzanych w celu zapewnienia stosowania prawa żywnościowego i paszowego oraz zasad dotyczących zdrowia i dobrostanu zwierząt, zdrowia roślin i środków ochrony roślin, zmieniającego rozporządzenia Parlamentu Europejskiego i Rady (WE) nr 999/2001, (WE) nr 396/2005, (WE) nr 1069/2009, (WE) nr 1107/2009, (UE) nr 1151/2012, (UE) nr 652/2014, (UE) 2016/429 i (UE) 2016/2031, rozporządzenia Rady (WE) nr 1/2005 i (WE) nr 1099/2009 oraz dyrektywy Rady 98/58/WE, 1999/74/WE, 2007/43/WE, 2008/119/WE i 2008/120/WE, oraz uchylającego rozporządzenia Parlamentu Europejskiego i Rady (WE) nr 854/2004 i (WE) nr 882/2004, dyrektywy Rady 89/608/EWG, 89/662/EWG, 90/425/EWG, 91/496/EWG, 96/23/WE, 96/93/WE i 97/78/WE oraz decyzję Rady 92/438/EWG (rozporządzenie w sprawie kontroli urzędowych) (Dz. Urz. UE L 95 z 07.04.2017, str. 1, z późn. zm.), zwanego dalej „rozporządzeniem </w:t>
      </w:r>
      <w:r w:rsidRPr="00C34D5E">
        <w:t xml:space="preserve">(UE) </w:t>
      </w:r>
      <w:r w:rsidRPr="00983DE0">
        <w:t xml:space="preserve">2017/625”, które uchyliło rozporządzenie (WE) nr 882/2004 Parlamentu Europejskiego i Rady z dnia 29 kwietnia 2004 r. w sprawie kontroli urzędowych przeprowadzanych w celu sprawdzenia zgodności z prawem paszowym i żywnościowym oraz regułami dotyczącymi zdrowia zwierząt i dobrostanu zwierząt (Dz. Urz. UE L 165 z 30.04.2004, str. 1, z późn. zm.; Dz. Urz. UE Polskie wydanie specjalne, rozdz. 3, t. 45, str. 200). W związku z tym w projekcie </w:t>
      </w:r>
      <w:r w:rsidRPr="00CD65E7">
        <w:t xml:space="preserve">są </w:t>
      </w:r>
      <w:r w:rsidRPr="00983DE0">
        <w:t xml:space="preserve">zmieniane poszczególne przepisy ustawy, które zapewnią stosowanie obowiązujących regulacji unijnych wynikających z rozporządzenia </w:t>
      </w:r>
      <w:r w:rsidRPr="00C34D5E">
        <w:t xml:space="preserve">(UE) </w:t>
      </w:r>
      <w:r w:rsidRPr="00983DE0">
        <w:t>2017/625.</w:t>
      </w:r>
    </w:p>
    <w:p w14:paraId="31A73036" w14:textId="77777777" w:rsidR="003641D9" w:rsidRPr="00087AD1" w:rsidRDefault="003641D9" w:rsidP="003641D9">
      <w:pPr>
        <w:pStyle w:val="ARTartustawynprozporzdzenia"/>
      </w:pPr>
      <w:r>
        <w:t xml:space="preserve">Dodatkowo </w:t>
      </w:r>
      <w:r w:rsidRPr="00252E59">
        <w:t xml:space="preserve">projekt ustawy </w:t>
      </w:r>
      <w:r>
        <w:t>implementuje</w:t>
      </w:r>
      <w:r w:rsidRPr="00252E59">
        <w:t xml:space="preserve"> przepisy dyrektywy Parlamentu Europejskiego i Rady (UE) 2024/2839 z dnia 23 października 2024 r. w sprawie zmiany dyrektywy 1999/2/WE, 2000/14/WE, 2011/24/UE i 2014/53/UE w odniesieniu do niektórych wymogów sprawozdawczych dotyczących środków spożywczych oraz składników środków spożywczych, hałasu na zewnątrz pomieszczeń, praw pacjentów i urządzeń radiowych (Dz. Urz. UE L z 07.11.2024), zwanej dalej „dyrektywą (UE) 2024/2839”, w zakresie zmiany przepisów dyrektywy 1999/2/WE Parlamentu Europejskiego i Rady z dnia 22 lutego 1999 r. w sprawie zbliżenia ustawodawstw państw członkowskich dotyczących środków spożywczych oraz składników środków spożywczych poddanych działaniu promieniowania jonizującego </w:t>
      </w:r>
      <w:r w:rsidRPr="00252E59">
        <w:lastRenderedPageBreak/>
        <w:t xml:space="preserve">(Dz. Urz. UE L 66 z 13.03.1999, str. 16, z późn. zm.), które odnoszą się do przesyłania Komisji </w:t>
      </w:r>
      <w:r>
        <w:t xml:space="preserve">Europejskiej </w:t>
      </w:r>
      <w:r w:rsidRPr="00252E59">
        <w:t>wyników kontroli przeprowadzonych w jednostkach przeprowadzających napromieniowanie oraz wyników kontroli przeprowadzonych na etapie wprowadzania produktów do obrotu handlowego.</w:t>
      </w:r>
      <w:r>
        <w:t xml:space="preserve"> W celu </w:t>
      </w:r>
      <w:r w:rsidRPr="00252E59">
        <w:t>implementacji dyrektywy (UE) 2024/2839 projektowana ustawa zmienia art. 21 ustawy przez uchylenie pkt 2 dotyczącego przekazywania przez Głównego Inspektora Sanitarnego</w:t>
      </w:r>
      <w:r>
        <w:t xml:space="preserve">, zwanego dalej </w:t>
      </w:r>
      <w:r w:rsidRPr="00252E59">
        <w:t>„</w:t>
      </w:r>
      <w:r>
        <w:t>GIS</w:t>
      </w:r>
      <w:r w:rsidRPr="00252E59">
        <w:t xml:space="preserve">”, do Komisji Europejskiej corocznie informacji o wynikach kontroli przeprowadzanych w zakładach lub jednostkach organizacyjnych podmiotów działających na rynku spożywczym dokonujących napromieniania żywności promieniowaniem jonizującym oraz wynikach kontroli przeprowadzanych na etapie obrotu żywnością oraz stosowanych metodach analitycznych. Obowiązek dotyczący przekazywania tych informacji do </w:t>
      </w:r>
      <w:r>
        <w:t xml:space="preserve">tej </w:t>
      </w:r>
      <w:r w:rsidRPr="00252E59">
        <w:t xml:space="preserve">Komisji został wykreślony z dyrektywy 1999/2/WE, ponieważ obecnie informacje takie wszystkie państwa członkowskie przesyłają do Komisji </w:t>
      </w:r>
      <w:r>
        <w:t xml:space="preserve">Europejskiej </w:t>
      </w:r>
      <w:r w:rsidRPr="00252E59">
        <w:t>w ramach przekazywanych co roku sprawozdań z realizacji wieloletniego krajowego planu kontroli. Wieloletnie krajowe plany kontroli obejmują między innymi zakres dyrektywy 1999/2/WE.</w:t>
      </w:r>
    </w:p>
    <w:p w14:paraId="75F15803" w14:textId="77777777" w:rsidR="003641D9" w:rsidRDefault="003641D9" w:rsidP="003641D9">
      <w:pPr>
        <w:pStyle w:val="NIEARTTEKSTtekstnieartykuowanynppodstprawnarozplubpreambua"/>
      </w:pPr>
      <w:r>
        <w:t xml:space="preserve">Ponadto zmiana ustawy </w:t>
      </w:r>
      <w:r w:rsidRPr="001F517C">
        <w:t xml:space="preserve">wynika z konieczności dostosowania procedury powiadamiania </w:t>
      </w:r>
      <w:r>
        <w:t>G</w:t>
      </w:r>
      <w:r w:rsidRPr="001F517C">
        <w:t>IS</w:t>
      </w:r>
      <w:r>
        <w:t xml:space="preserve"> </w:t>
      </w:r>
      <w:r w:rsidRPr="001F517C">
        <w:t xml:space="preserve">o pierwszym wprowadzeniu do obrotu na terytorium Rzeczypospolitej Polskiej środków spożywczych, o których mowa w art. 29 ustawy, przede wszystkim suplementów diety, do dynamicznie rozwijającego się rynku tych produktów oraz zwiększającej się z roku na rok liczby powiadomień. W 2007 r. w Rzeczypospolitej Polskiej zarejestrowano pierwszy produkt w kategorii „suplementu diety”. Od tego czasu dynamika wzrostu sprzedaży oraz wartość rynku suplementów diety wzrosła wielokrotnie. W latach 2011–2016 powiadomiono GIS o 5429 nowych suplementach diety wprowadzanych do obrotu w </w:t>
      </w:r>
      <w:r>
        <w:t xml:space="preserve">Rzeczypospolitej </w:t>
      </w:r>
      <w:r w:rsidRPr="001F517C">
        <w:t>Pols</w:t>
      </w:r>
      <w:r>
        <w:t>kiej</w:t>
      </w:r>
      <w:r w:rsidRPr="001F517C">
        <w:t>. W poszczególnych latach liczba powiadomień GIS nieustannie wzrasta. Od 2007 r. do rejestru wpisano łącznie około 29 000 produktów kwalifikowanych przez zgłaszających jako suplementy diety. W latach 2017–2020 do GIS wpłynęło 62 808 powiadomień o wprowadzeniu lub zamiarze wprowadzenia suplementów diety po raz pierwszy do obrotu. Tak duża liczba wprowadzanych do obrotu suplementów diety wymaga zmiany procedury powiadamiania w celu jej usprawnienia i dostosowania do obecnej sytuacji związanej ze wzrostem liczby rozpatrywanych powiadomień.</w:t>
      </w:r>
      <w:r w:rsidRPr="005C4A78">
        <w:t xml:space="preserve"> W </w:t>
      </w:r>
      <w:r>
        <w:t xml:space="preserve">związku z tym przepisach dotyczących </w:t>
      </w:r>
      <w:r w:rsidRPr="001F517C">
        <w:t xml:space="preserve">procedury powiadamiania </w:t>
      </w:r>
      <w:r>
        <w:t xml:space="preserve">wprowadza się odpowiednie zmiany w </w:t>
      </w:r>
      <w:r w:rsidRPr="005C4A78">
        <w:t>celu dostosowania procedury do aktualnych potrzeb</w:t>
      </w:r>
      <w:r>
        <w:t>.</w:t>
      </w:r>
      <w:r w:rsidRPr="00F166AF">
        <w:t xml:space="preserve"> Zmiany te dotyczą m.in. przepisów określających rodzaje środków </w:t>
      </w:r>
      <w:r w:rsidRPr="00F166AF">
        <w:lastRenderedPageBreak/>
        <w:t>spożywczych objętych procedurą powiadamiania, samej procedury oraz przepisów karnych w tym zakresie.</w:t>
      </w:r>
    </w:p>
    <w:p w14:paraId="46CA6779" w14:textId="77777777" w:rsidR="003641D9" w:rsidRPr="00F166AF" w:rsidRDefault="003641D9" w:rsidP="003641D9">
      <w:pPr>
        <w:pStyle w:val="NIEARTTEKSTtekstnieartykuowanynppodstprawnarozplubpreambua"/>
      </w:pPr>
      <w:r w:rsidRPr="00794558">
        <w:t xml:space="preserve">W </w:t>
      </w:r>
      <w:r>
        <w:t xml:space="preserve">celu dostosowania procedury do aktualnych potrzeb w </w:t>
      </w:r>
      <w:r w:rsidRPr="00794558">
        <w:t>projektowanej ustawie we wprowadzeniu do wyliczenia w art. 29 ust. 1</w:t>
      </w:r>
      <w:r>
        <w:t xml:space="preserve"> ustawy</w:t>
      </w:r>
      <w:r w:rsidRPr="00794558">
        <w:t xml:space="preserve">, który dotyczy obowiązku powiadamiania Głównego Inspektora Sanitarnego o pierwszym wprowadzeniu do obrotu określonego rodzaju produktów, wykreśla się wyrazy „lub ma zamiar wprowadzić”. Pomimo wskazanego w ww. art. 29 ust. 1 </w:t>
      </w:r>
      <w:r w:rsidRPr="00F166AF">
        <w:t xml:space="preserve">ustawy rozróżnienia dotyczącego powiadomienia o zamiarze wprowadzenia po raz pierwszy do obrotu oraz powiadomienia o wprowadzeniu po raz pierwszy do obrotu na terytorium Rzeczypospolitej Polskiej środka spożywczego, nie przewidziano </w:t>
      </w:r>
      <w:r w:rsidRPr="00794558">
        <w:t xml:space="preserve">w ustawie </w:t>
      </w:r>
      <w:r w:rsidRPr="00F166AF">
        <w:t>odrębnych skutków i działań</w:t>
      </w:r>
      <w:r>
        <w:t xml:space="preserve"> w tych przypadkach</w:t>
      </w:r>
      <w:r w:rsidRPr="00F166AF">
        <w:t>. Sposób postępowania GIS</w:t>
      </w:r>
      <w:r>
        <w:t xml:space="preserve"> </w:t>
      </w:r>
      <w:r w:rsidRPr="00F166AF">
        <w:t>jest taki sam w obu tych przypadkach i określają go przepisy art. 30</w:t>
      </w:r>
      <w:r>
        <w:t>–</w:t>
      </w:r>
      <w:r w:rsidRPr="00F166AF">
        <w:t xml:space="preserve">32 ustawy. </w:t>
      </w:r>
      <w:r>
        <w:t>Ponadto z</w:t>
      </w:r>
      <w:r w:rsidRPr="00794558">
        <w:t xml:space="preserve">godnie z art. 3 ust. 8 rozporządzenia nr 178/2002 Parlamentu Europejskiego i Rady z dnia 28 stycznia 2002 r. ustanawiającego ogólne zasady i wymagania prawa żywnościowego, powołującego Europejski Urząd ds. Bezpieczeństwa Żywności oraz ustanawiającego procedury w zakresie bezpieczeństwa żywności (Dz. Urz. WE L 31 z 01.02.2002, str. 1; Dz. Urz. UE Polskie wydanie specjalne, rozdz. 15, t. 6, str. 463), wprowadzenie na rynek „oznacza posiadanie żywności lub pasz w celu sprzedaży, z uwzględnieniem oferowania do sprzedaży lub innej formy dysponowania, bezpłatnego lub nie oraz sprzedaż, dystrybucję i inne formy dysponowania”. Bezpośrednie odwołanie do ww. definicji znajduje się w art. 3 ust. 3 pkt 52 ustawy regulującym termin „wprowadzanie żywności do obrotu”. Zarówno w ww. rozporządzeniu, jak też w ustawie nie sformułowano definicji zamiaru wprowadzania na rynek/do obrotu. </w:t>
      </w:r>
      <w:r w:rsidRPr="00F166AF">
        <w:t>W związku z brakiem odrębnych skutków i działań odnośnie do powiadomień o zamiarze oraz wprowadzeniu do obrotu, jak też mając na uwadze przepisy prawa unijnego, w projekcie ustawy wykreśla się wyrazy „lub ma zamiar wprowadzić”.</w:t>
      </w:r>
    </w:p>
    <w:p w14:paraId="5DF05483" w14:textId="2ED6F7C8" w:rsidR="003641D9" w:rsidRPr="00794558" w:rsidRDefault="003641D9" w:rsidP="003641D9">
      <w:pPr>
        <w:pStyle w:val="NIEARTTEKSTtekstnieartykuowanynppodstprawnarozplubpreambua"/>
      </w:pPr>
      <w:r w:rsidRPr="00D971E2">
        <w:t>Dodatkowo w art. 29 ust. 1 pkt 3 ustawy wyłącza się żywność wzbogacaną obligatoryjnie z obowiązku powiadomienia GIS</w:t>
      </w:r>
      <w:r>
        <w:t xml:space="preserve"> </w:t>
      </w:r>
      <w:r w:rsidRPr="00D971E2">
        <w:t>o wprowadzaniu takich produktów po raz pierwszy do obrotu</w:t>
      </w:r>
      <w:r w:rsidRPr="00794558">
        <w:t xml:space="preserve">. </w:t>
      </w:r>
      <w:r w:rsidRPr="00D971E2">
        <w:t xml:space="preserve">W związku z tym, że rozporządzenie Ministra Zdrowia z dnia </w:t>
      </w:r>
      <w:r w:rsidR="00C25637">
        <w:t>13 marca 2024</w:t>
      </w:r>
      <w:r w:rsidR="00C25637" w:rsidRPr="00D971E2">
        <w:t xml:space="preserve"> </w:t>
      </w:r>
      <w:r w:rsidRPr="00D971E2">
        <w:t>r. w sprawie substancji wzbogacających dodawanych do żywności (Dz. U. poz. 4</w:t>
      </w:r>
      <w:r w:rsidR="00EE60BD">
        <w:t>20</w:t>
      </w:r>
      <w:r w:rsidR="00956CBC">
        <w:t xml:space="preserve"> oraz z 2026 r. poz. 371</w:t>
      </w:r>
      <w:r w:rsidRPr="00D971E2">
        <w:t xml:space="preserve">) określa środki spożywcze, do których są obligatoryjnie dodawane witaminy i składniki mineralne, a także określa poziomy lub maksymalne poziomy dla tych witamin i składników mineralnych, </w:t>
      </w:r>
      <w:r w:rsidRPr="00794558">
        <w:t>zrezygnowano w projekcie ustawy z konieczności powiadamiania GIS</w:t>
      </w:r>
      <w:r>
        <w:t xml:space="preserve"> </w:t>
      </w:r>
      <w:r w:rsidRPr="00794558">
        <w:t xml:space="preserve">o </w:t>
      </w:r>
      <w:r w:rsidRPr="00794558">
        <w:lastRenderedPageBreak/>
        <w:t>pierwszym wprowadzeniu do obrotu tych środków spożywczych</w:t>
      </w:r>
      <w:r w:rsidRPr="00D971E2">
        <w:t xml:space="preserve">. Zmiana ta będzie miała pozytywny wpływ na przedsiębiorców, gdyż będą oni zwolnieni z tego obowiązku. </w:t>
      </w:r>
    </w:p>
    <w:p w14:paraId="67E71156" w14:textId="77777777" w:rsidR="003641D9" w:rsidRDefault="003641D9" w:rsidP="003641D9">
      <w:pPr>
        <w:pStyle w:val="NIEARTTEKSTtekstnieartykuowanynppodstprawnarozplubpreambua"/>
      </w:pPr>
      <w:r w:rsidRPr="00794558">
        <w:t xml:space="preserve">Ponadto z uwagi na wprowadzany system </w:t>
      </w:r>
      <w:r>
        <w:t>teleinformatyczny</w:t>
      </w:r>
      <w:r w:rsidRPr="00794558">
        <w:t>, który digitalizuje działania i czynności realizowane przez organy Państwowej Inspekcji Sanitarnej</w:t>
      </w:r>
      <w:r>
        <w:t xml:space="preserve">, zwanej dalej </w:t>
      </w:r>
      <w:r w:rsidRPr="00E81889">
        <w:t>„PIS”</w:t>
      </w:r>
      <w:r w:rsidRPr="00794558">
        <w:t>, w tym również działania realizowane przez GIS,</w:t>
      </w:r>
      <w:r>
        <w:t xml:space="preserve"> tj. </w:t>
      </w:r>
      <w:r w:rsidRPr="00E81889">
        <w:t>System Ewidencji Państwowej Inspekcji Sanitarnej, zwany dalej „SEPIS”</w:t>
      </w:r>
      <w:r>
        <w:t>, i działającej w ramach tego systemu platformy e-Sanepid</w:t>
      </w:r>
      <w:r w:rsidRPr="00E81889">
        <w:t>,</w:t>
      </w:r>
      <w:r>
        <w:t xml:space="preserve"> w </w:t>
      </w:r>
      <w:r w:rsidRPr="00794558">
        <w:t xml:space="preserve">art. 29 ust. 4 </w:t>
      </w:r>
      <w:r>
        <w:t>ustawy wprowadza się przepis stanowiący, że p</w:t>
      </w:r>
      <w:r w:rsidRPr="00E81889">
        <w:t xml:space="preserve">owiadomienia o pierwszym wprowadzeniu do obrotu </w:t>
      </w:r>
      <w:r>
        <w:t>określonych</w:t>
      </w:r>
      <w:r w:rsidRPr="00E81889">
        <w:t xml:space="preserve"> środków spożywczych</w:t>
      </w:r>
      <w:r>
        <w:t xml:space="preserve"> </w:t>
      </w:r>
      <w:r w:rsidRPr="00E81889">
        <w:t>dokonuje się za pomocą platformy e-Sanepid, o której mowa w art. 8d ustawy z dnia 14 marca 1985 r. o Państwowej Inspekcji Sanitarnej</w:t>
      </w:r>
      <w:r>
        <w:t xml:space="preserve"> (Dz. U. z 2024 r. poz. 416)</w:t>
      </w:r>
      <w:r w:rsidRPr="00E81889">
        <w:t xml:space="preserve">. </w:t>
      </w:r>
      <w:r w:rsidRPr="003B6918">
        <w:t xml:space="preserve">Powiadomienia już obecnie składa się w formie dokumentu elektronicznego, generowanego po wprowadzeniu danych do elektronicznego formularza powiadomienia za pośrednictwem </w:t>
      </w:r>
      <w:r>
        <w:t>platformy</w:t>
      </w:r>
      <w:r w:rsidRPr="003B6918">
        <w:t xml:space="preserve"> e</w:t>
      </w:r>
      <w:r>
        <w:t>-S</w:t>
      </w:r>
      <w:r w:rsidRPr="003B6918">
        <w:t>anepid. Elektroniczny system powiadomień o wprowadzeniu po raz pierwszy do obrotu określonych środków spożywczych funkcjonuje już od początku 2024</w:t>
      </w:r>
      <w:r>
        <w:t xml:space="preserve"> r</w:t>
      </w:r>
      <w:r w:rsidRPr="003B6918">
        <w:t xml:space="preserve">. Składane w ten sposób powiadomienia są </w:t>
      </w:r>
      <w:r w:rsidRPr="00CD65E7">
        <w:t xml:space="preserve">opatrzone </w:t>
      </w:r>
      <w:r w:rsidRPr="003B6918">
        <w:t>kwalifikowanym podpisem elektroniczny</w:t>
      </w:r>
      <w:r>
        <w:t>m lub podpisem zaufanym</w:t>
      </w:r>
      <w:r w:rsidRPr="003B6918">
        <w:t>. Za dzień złożenia powiadomienia uznaje się dzień otrzymania przez GIS</w:t>
      </w:r>
      <w:r>
        <w:t xml:space="preserve"> </w:t>
      </w:r>
      <w:r w:rsidRPr="003B6918">
        <w:t>powiadomienia opatrzonego tym podpisem.</w:t>
      </w:r>
      <w:r>
        <w:t xml:space="preserve"> Z powyższego względu w</w:t>
      </w:r>
      <w:r w:rsidRPr="00794558">
        <w:t xml:space="preserve"> art. 29 ust. 4</w:t>
      </w:r>
      <w:r>
        <w:t>–</w:t>
      </w:r>
      <w:r w:rsidRPr="00794558">
        <w:t xml:space="preserve">6 </w:t>
      </w:r>
      <w:r>
        <w:t xml:space="preserve">ustawy </w:t>
      </w:r>
      <w:r w:rsidRPr="00794558">
        <w:t xml:space="preserve">rezygnuje się ze złożenia powiadomienia o pierwszym wprowadzeniu do obrotu określonego rodzaju produktów w formie pisemnej z własnoręcznym podpisem. </w:t>
      </w:r>
      <w:r w:rsidRPr="003B6918">
        <w:t>Rezygnacja z formy papierowej jest możliwa dzięki dobrze funkcjonującemu systemowi powiadamiania GIS</w:t>
      </w:r>
      <w:r>
        <w:t xml:space="preserve"> </w:t>
      </w:r>
      <w:r w:rsidRPr="003B6918">
        <w:t>w formie dokumentu elektronicznego powstałego przez wprowadzenie danych do elektronicznego formularza powiadomienia opatrzonego kwalifikowanym podpisem elektronicznym</w:t>
      </w:r>
      <w:r>
        <w:t xml:space="preserve"> lub podpisem zaufanym.</w:t>
      </w:r>
      <w:r w:rsidRPr="003B6918">
        <w:t xml:space="preserve"> </w:t>
      </w:r>
    </w:p>
    <w:p w14:paraId="2690F1BA" w14:textId="77777777" w:rsidR="003641D9" w:rsidRDefault="003641D9" w:rsidP="003641D9">
      <w:pPr>
        <w:pStyle w:val="NIEARTTEKSTtekstnieartykuowanynppodstprawnarozplubpreambua"/>
      </w:pPr>
      <w:r>
        <w:t>W projektowanej ustawie wprowadza się zmiany dotyczące samej</w:t>
      </w:r>
      <w:r w:rsidRPr="00E26325">
        <w:t xml:space="preserve"> procedury powiadamiania GIS o pierwszym wprowadzeniu do obrotu określonych środków spożywczych</w:t>
      </w:r>
      <w:r>
        <w:t xml:space="preserve">. </w:t>
      </w:r>
      <w:r w:rsidRPr="00794558">
        <w:t>Kwestie dotyczące prowadzenia nadzoru nad suplementami diety nie są szczegółowo uregulowane przepisach unijnych</w:t>
      </w:r>
      <w:r>
        <w:t>. Obowiązująca w tym zakresie</w:t>
      </w:r>
      <w:r w:rsidRPr="00794558">
        <w:t xml:space="preserve"> </w:t>
      </w:r>
      <w:r>
        <w:t>d</w:t>
      </w:r>
      <w:r w:rsidRPr="00340513">
        <w:t>yrektyw</w:t>
      </w:r>
      <w:r>
        <w:t>a</w:t>
      </w:r>
      <w:r w:rsidRPr="00340513">
        <w:t xml:space="preserve"> 2002/46/WE Parlamentu Europejskiego i Rady z dnia 10 czerwca 2002 r. w sprawie</w:t>
      </w:r>
      <w:r>
        <w:t xml:space="preserve"> </w:t>
      </w:r>
      <w:r w:rsidRPr="00340513">
        <w:t>zbliżenia ustawodawstw Państw Członkowskich odnoszących się do suplementów</w:t>
      </w:r>
      <w:r>
        <w:t xml:space="preserve"> </w:t>
      </w:r>
      <w:r w:rsidRPr="00340513">
        <w:t>żywnościowych (Dz. Urz. WE L 183 z 12.07.2002, str. 51, z późn. zm.; Dz. Urz. UE Polskie</w:t>
      </w:r>
      <w:r>
        <w:t xml:space="preserve"> </w:t>
      </w:r>
      <w:r w:rsidRPr="00340513">
        <w:t>wydanie specjalne, rozdz. 13, t. 29, str. 490)</w:t>
      </w:r>
      <w:r w:rsidRPr="00794558">
        <w:t>”</w:t>
      </w:r>
      <w:r>
        <w:t xml:space="preserve">, zwanej dalej </w:t>
      </w:r>
      <w:r w:rsidRPr="00794558">
        <w:t>„</w:t>
      </w:r>
      <w:r>
        <w:t>dyrektywą 2002/46</w:t>
      </w:r>
      <w:r w:rsidRPr="00794558">
        <w:t>”</w:t>
      </w:r>
      <w:r>
        <w:t xml:space="preserve">, w </w:t>
      </w:r>
      <w:r w:rsidRPr="00794558">
        <w:t xml:space="preserve">art. 10 </w:t>
      </w:r>
      <w:r>
        <w:t xml:space="preserve">zawiera przepis stanowiący, że </w:t>
      </w:r>
      <w:r w:rsidRPr="00794558">
        <w:t xml:space="preserve">„aby ułatwić skuteczne monitorowanie suplementów żywnościowych, Państwa </w:t>
      </w:r>
      <w:r w:rsidRPr="00794558">
        <w:lastRenderedPageBreak/>
        <w:t xml:space="preserve">Członkowskie mogą zażądać, by producent lub osoba wprowadzająca dany produkt na rynek na ich terytorium informowała o tym właściwy organ przez przesłanie do tego organu wzoru modelu etykiety używanej dla tego produktu”. </w:t>
      </w:r>
    </w:p>
    <w:p w14:paraId="21962C1D" w14:textId="7EC7D056" w:rsidR="003641D9" w:rsidRDefault="003641D9" w:rsidP="003641D9">
      <w:pPr>
        <w:pStyle w:val="NIEARTTEKSTtekstnieartykuowanynppodstprawnarozplubpreambua"/>
      </w:pPr>
      <w:r>
        <w:t>Z</w:t>
      </w:r>
      <w:r w:rsidRPr="00794558">
        <w:t xml:space="preserve"> przepisów dyrektywy </w:t>
      </w:r>
      <w:r>
        <w:t xml:space="preserve">2002/46 </w:t>
      </w:r>
      <w:r w:rsidRPr="00794558">
        <w:t xml:space="preserve">wynika </w:t>
      </w:r>
      <w:r>
        <w:t xml:space="preserve">zatem </w:t>
      </w:r>
      <w:r w:rsidRPr="00794558">
        <w:t xml:space="preserve">konieczność skutecznego monitorowania suplementów diety, </w:t>
      </w:r>
      <w:r>
        <w:t>a p</w:t>
      </w:r>
      <w:r w:rsidRPr="00794558">
        <w:t xml:space="preserve">onadto przepisy dyrektywy 2002/46/WE określają jedynie wykazy witamin i składników mineralnych, które mogą być stosowane w suplementach diety, bez określania ich maksymalnych ilości, jak również nie określają wykazów innych substancji odżywczych lub substancji wykazujących efekt odżywczy lub fizjologiczny, które można stosować w suplementach diety. Z uwagi na brak regulacji szczegółowych w tym obszarze państwa członkowskie Unii Europejskiej </w:t>
      </w:r>
      <w:r w:rsidR="00327DEC">
        <w:t xml:space="preserve">oraz Wielka Brytania </w:t>
      </w:r>
      <w:r w:rsidRPr="00794558">
        <w:t xml:space="preserve">wprowadziły w zakresie nadzoru różne rozwiązania. Większość państw wymaga powiadomienia o wprowadzanych po raz pierwszy do obrotu suplementach diety (np. </w:t>
      </w:r>
      <w:r w:rsidRPr="00233300">
        <w:t>Belgia, Włochy, Francja, Niemcy, Czechy, Dania, Grecja, Irlandia, Litwa, Bułgaria, Rumunia, Portugalia, Słowienia, Słowacja, Hiszpania, Malta, Finlandia</w:t>
      </w:r>
      <w:r w:rsidRPr="00794558">
        <w:t>), a niektóre (np. Austria, Holandia, Szwecja</w:t>
      </w:r>
      <w:r>
        <w:t>,</w:t>
      </w:r>
      <w:r w:rsidRPr="00233300">
        <w:t xml:space="preserve"> Wielka Brytania</w:t>
      </w:r>
      <w:r w:rsidRPr="00794558">
        <w:t>) nie wprowadziły takiego obowiązku. Z tego względu, że obszar dotyczący suplementów diety nie jest szczegółowo uregulowany, a z uwagi na bezpieczeństwo konsumentów istnieje koni</w:t>
      </w:r>
      <w:r>
        <w:t>e</w:t>
      </w:r>
      <w:r w:rsidRPr="00794558">
        <w:t xml:space="preserve">czność zapewnienia, aby system powiadamiania o wprowadzanych po raz pierwszy do obrotu na terytorium Rzeczypospolitej Polskiej suplementach diety był skuteczny i szczelny.  </w:t>
      </w:r>
    </w:p>
    <w:p w14:paraId="19270936" w14:textId="13656EA2" w:rsidR="003641D9" w:rsidRPr="005B6471" w:rsidRDefault="003641D9" w:rsidP="003641D9">
      <w:pPr>
        <w:pStyle w:val="NIEARTTEKSTtekstnieartykuowanynppodstprawnarozplubpreambua"/>
      </w:pPr>
      <w:r w:rsidRPr="00794558">
        <w:t xml:space="preserve">W związku z powyższym </w:t>
      </w:r>
      <w:r w:rsidRPr="00340513">
        <w:t xml:space="preserve">w celu usprawnienia istniejącej procedury </w:t>
      </w:r>
      <w:r>
        <w:t xml:space="preserve">powiadamiania w art. 30 ustawy dodaje się ust. 1a określający, że do </w:t>
      </w:r>
      <w:r w:rsidRPr="00E26325">
        <w:t xml:space="preserve">postępowań, o których mowa w ust. 1, nie stosuje się przepisów ustawy z dnia 14 czerwca 1960 r. </w:t>
      </w:r>
      <w:r>
        <w:t>–</w:t>
      </w:r>
      <w:r w:rsidRPr="00E26325">
        <w:t xml:space="preserve"> Kodeks postępowania administracyjnego (Dz. U. z 202</w:t>
      </w:r>
      <w:r w:rsidR="00EE60BD">
        <w:t>5</w:t>
      </w:r>
      <w:r w:rsidRPr="00E26325">
        <w:t xml:space="preserve"> r. poz. </w:t>
      </w:r>
      <w:r w:rsidR="00EE60BD">
        <w:t>1691</w:t>
      </w:r>
      <w:r w:rsidRPr="00E26325">
        <w:t>)</w:t>
      </w:r>
      <w:r>
        <w:t xml:space="preserve">, zwanej dalej </w:t>
      </w:r>
      <w:r w:rsidRPr="005B6471">
        <w:t>„</w:t>
      </w:r>
      <w:r>
        <w:t>KPA</w:t>
      </w:r>
      <w:r w:rsidRPr="005B6471">
        <w:t>”</w:t>
      </w:r>
      <w:r>
        <w:t xml:space="preserve">, ponieważ </w:t>
      </w:r>
      <w:r w:rsidRPr="005B6471">
        <w:t>postępowanie wyjaśniające</w:t>
      </w:r>
      <w:r>
        <w:t xml:space="preserve">, o którym mowa w </w:t>
      </w:r>
      <w:r w:rsidRPr="005B6471">
        <w:t xml:space="preserve">art. 30 i </w:t>
      </w:r>
      <w:r>
        <w:t>31 ustawy</w:t>
      </w:r>
      <w:r w:rsidRPr="005B6471">
        <w:t xml:space="preserve"> nie ma charakteru postępowania administracyjnego. </w:t>
      </w:r>
      <w:r>
        <w:t xml:space="preserve">Regulacje określone w art. 30 i 31 ustawy </w:t>
      </w:r>
      <w:r w:rsidRPr="00A36503">
        <w:t>ma</w:t>
      </w:r>
      <w:r>
        <w:t>ją</w:t>
      </w:r>
      <w:r w:rsidRPr="00A36503">
        <w:t xml:space="preserve"> charakter kompletny i autonomiczny w odniesieniu do </w:t>
      </w:r>
      <w:r>
        <w:t>KPA</w:t>
      </w:r>
      <w:r w:rsidRPr="00A36503">
        <w:t>.</w:t>
      </w:r>
      <w:r>
        <w:t xml:space="preserve"> P</w:t>
      </w:r>
      <w:r w:rsidRPr="005B6471">
        <w:t xml:space="preserve">ostępowanie </w:t>
      </w:r>
      <w:r>
        <w:t xml:space="preserve">wyjaśniające przeprowadzane przez GIS </w:t>
      </w:r>
      <w:r w:rsidRPr="005B6471">
        <w:t>jest wszczynane z urzędu</w:t>
      </w:r>
      <w:r>
        <w:t xml:space="preserve">. Powiadomienie </w:t>
      </w:r>
      <w:r w:rsidRPr="005B6471">
        <w:t>o pierwszym wprowadzeniu do obrotu określonego rodzaju produktów</w:t>
      </w:r>
      <w:r>
        <w:t>, w tym suplementów diety,</w:t>
      </w:r>
      <w:r w:rsidRPr="005B6471">
        <w:t xml:space="preserve"> nie jest wnioskiem (podaniem) w rozumieniu art. 61</w:t>
      </w:r>
      <w:r>
        <w:t xml:space="preserve"> KPA</w:t>
      </w:r>
      <w:r w:rsidRPr="005B6471">
        <w:t>, który wymagałby załatwienia przez organ jako sprawy administracyjnej</w:t>
      </w:r>
      <w:r>
        <w:t xml:space="preserve"> i </w:t>
      </w:r>
      <w:r w:rsidRPr="005B6471">
        <w:t>nie powoduje wszczęcia postępowania administracyjnego. Jest to w istocie oświadczenie woli podmiotu działającego na rynku spożywczym, który wprowadza po raz pierwszy do obrotu</w:t>
      </w:r>
      <w:r>
        <w:t xml:space="preserve"> środek spożywczy</w:t>
      </w:r>
      <w:r w:rsidRPr="005B6471">
        <w:t>, a jego milczące przyjęcie przez GIS jest czynnością materialno</w:t>
      </w:r>
      <w:r>
        <w:t>-</w:t>
      </w:r>
      <w:r w:rsidRPr="005B6471">
        <w:t xml:space="preserve">techniczną. </w:t>
      </w:r>
      <w:r w:rsidRPr="00A36503">
        <w:t xml:space="preserve">Czynności materialno-techniczne należą do czynności faktycznych administracji, które służą </w:t>
      </w:r>
      <w:r w:rsidRPr="00A36503">
        <w:lastRenderedPageBreak/>
        <w:t xml:space="preserve">bezpośredniej i praktycznej realizacji konkretnych zadań administracji. </w:t>
      </w:r>
      <w:r w:rsidRPr="005B6471">
        <w:t xml:space="preserve">Zgodnie z art. 29 ust. 1 </w:t>
      </w:r>
      <w:r>
        <w:t>ustawy</w:t>
      </w:r>
      <w:r w:rsidRPr="005B6471">
        <w:t xml:space="preserve"> GIS</w:t>
      </w:r>
      <w:r>
        <w:t xml:space="preserve"> </w:t>
      </w:r>
      <w:r w:rsidRPr="005B6471">
        <w:t xml:space="preserve">w ramach swojej działalności realizując obowiązek monitorowania produktów wprowadzanych do obrotu na terytorium Rzeczypospolitej Polskiej przyjmuje i ocenia złożone przez </w:t>
      </w:r>
      <w:r>
        <w:t>podmioty</w:t>
      </w:r>
      <w:r w:rsidRPr="005B6471">
        <w:t xml:space="preserve"> powiadomienia o wprowadzeniu </w:t>
      </w:r>
      <w:r>
        <w:t>po raz pierwszy do obrotu</w:t>
      </w:r>
      <w:r w:rsidRPr="005B6471">
        <w:t xml:space="preserve"> żywności objętej takim obowiązkiem. Po otrzymaniu powiadomienia GIS</w:t>
      </w:r>
      <w:r>
        <w:t xml:space="preserve"> </w:t>
      </w:r>
      <w:r w:rsidRPr="005B6471">
        <w:t>może przeprowadzić postępowanie</w:t>
      </w:r>
      <w:r>
        <w:t>, o którym mowa w art. 30 ust. 1 ustawy</w:t>
      </w:r>
      <w:r w:rsidRPr="00817043">
        <w:t xml:space="preserve">. </w:t>
      </w:r>
      <w:r>
        <w:t xml:space="preserve">W ramach tego postępowania </w:t>
      </w:r>
      <w:r w:rsidRPr="00817043">
        <w:t>GIS</w:t>
      </w:r>
      <w:r>
        <w:t xml:space="preserve">, w przypadku wątpliwości, </w:t>
      </w:r>
      <w:r w:rsidRPr="000E50FF">
        <w:t>czy produkt objęty powiadomieniem, ze względu na jego skład, właściwości poszczególnych składników oraz przeznaczenie jest środkiem spożywczym zgodnie z zaproponowaną przez podmiot działający na rynku spożywczym kwalifikacją oraz czy spełnia wymagania dla danego rodzaju środka spożywczego</w:t>
      </w:r>
      <w:r>
        <w:t xml:space="preserve">, </w:t>
      </w:r>
      <w:r w:rsidRPr="00817043">
        <w:t>moż</w:t>
      </w:r>
      <w:r>
        <w:t xml:space="preserve">e </w:t>
      </w:r>
      <w:r w:rsidRPr="00817043">
        <w:t>zażądać opinii Zespołu do Spraw Suplementów Diety działającego w ramach Rady Sanitarno-Epidemiologicznej, o której mowa w art. 9 ustawy z dnia 14 marca 1985 r. o Państwowej Inspekcji Sanitarnej</w:t>
      </w:r>
      <w:r>
        <w:t xml:space="preserve">, </w:t>
      </w:r>
      <w:r w:rsidRPr="00817043">
        <w:t>zobowiązać podmiot</w:t>
      </w:r>
      <w:r>
        <w:t xml:space="preserve"> </w:t>
      </w:r>
      <w:r w:rsidRPr="00817043">
        <w:t xml:space="preserve">do udokumentowania, że środek spożywczy spełnia </w:t>
      </w:r>
      <w:r>
        <w:t xml:space="preserve">określone dla niego </w:t>
      </w:r>
      <w:r w:rsidRPr="00817043">
        <w:t xml:space="preserve">wymagania, </w:t>
      </w:r>
      <w:r>
        <w:t>w</w:t>
      </w:r>
      <w:r w:rsidRPr="00817043">
        <w:t xml:space="preserve"> szczególności do przedłożenia opinii </w:t>
      </w:r>
      <w:r>
        <w:t>jednostki naukowej</w:t>
      </w:r>
      <w:r w:rsidRPr="00817043">
        <w:t xml:space="preserve">, </w:t>
      </w:r>
      <w:r>
        <w:t>a w p</w:t>
      </w:r>
      <w:r w:rsidRPr="00817043">
        <w:t xml:space="preserve">rzypadku przeprowadzania postępowania, mającego na celu wyjaśnienie, że środek spożywczy objęty powiadomieniem nie spełnia wymagań produktu leczniczego określonego przepisami prawa </w:t>
      </w:r>
      <w:r>
        <w:t xml:space="preserve"> </w:t>
      </w:r>
      <w:r w:rsidRPr="00817043">
        <w:t>farmaceutycznego albo wyrobu medycznego w rozumieniu przepisów o wyrobach medycznych, GIS</w:t>
      </w:r>
      <w:r>
        <w:t xml:space="preserve"> </w:t>
      </w:r>
      <w:r w:rsidRPr="00817043">
        <w:t>zobowiązuje podmiot</w:t>
      </w:r>
      <w:r>
        <w:t xml:space="preserve"> </w:t>
      </w:r>
      <w:r w:rsidRPr="00817043">
        <w:t>do przedłożenia opinii Urzędu Rejestracji Produktów Leczniczych, Wyrobów Medycznych i Produktów Biobójczych</w:t>
      </w:r>
      <w:r>
        <w:t xml:space="preserve">, która jest wiążąca w prowadzonym postępowania. </w:t>
      </w:r>
    </w:p>
    <w:p w14:paraId="09992AB2" w14:textId="77777777" w:rsidR="003641D9" w:rsidRPr="00E26325" w:rsidRDefault="003641D9" w:rsidP="003641D9">
      <w:pPr>
        <w:pStyle w:val="ARTartustawynprozporzdzenia"/>
      </w:pPr>
      <w:r>
        <w:t xml:space="preserve">Dodatkowo w art. 30 ust. 5 ustawy, który stanowi, że GIS prowadzi rejestr </w:t>
      </w:r>
      <w:r w:rsidRPr="0065101A">
        <w:t>produktów objętych powiadomieniem o pierwszym wprowadzeniu do obrotu na terytorium Rzeczypospolitej Polskiej</w:t>
      </w:r>
      <w:r>
        <w:t xml:space="preserve">, określa się, że </w:t>
      </w:r>
      <w:r w:rsidRPr="0065101A">
        <w:t>GIS</w:t>
      </w:r>
      <w:r>
        <w:t xml:space="preserve"> </w:t>
      </w:r>
      <w:r w:rsidRPr="0065101A">
        <w:t xml:space="preserve">prowadzi </w:t>
      </w:r>
      <w:r>
        <w:t xml:space="preserve">ten rejestr </w:t>
      </w:r>
      <w:r w:rsidRPr="0065101A">
        <w:t>w SEPIS</w:t>
      </w:r>
      <w:r>
        <w:t xml:space="preserve">. Rejestr ten zawiera </w:t>
      </w:r>
      <w:r w:rsidRPr="0065101A">
        <w:t>następujące dane</w:t>
      </w:r>
      <w:r>
        <w:t>: r</w:t>
      </w:r>
      <w:r w:rsidRPr="0065101A">
        <w:t>ok złożenia powiadomienia</w:t>
      </w:r>
      <w:r>
        <w:t xml:space="preserve">, </w:t>
      </w:r>
      <w:r w:rsidRPr="0065101A">
        <w:t>nazwę produktu</w:t>
      </w:r>
      <w:r>
        <w:t xml:space="preserve">, </w:t>
      </w:r>
      <w:r w:rsidRPr="0065101A">
        <w:t>postać produktu, w jakiej jest on wprowadzany do obrot</w:t>
      </w:r>
      <w:r>
        <w:t xml:space="preserve">u, </w:t>
      </w:r>
      <w:r w:rsidRPr="0065101A">
        <w:t>kwalifikację zaproponowaną przez podmiot działający na rynku spożywczym</w:t>
      </w:r>
      <w:r>
        <w:t xml:space="preserve">, </w:t>
      </w:r>
      <w:r w:rsidRPr="0065101A">
        <w:t>skład jakościowy obejmujący dane dotyczące składników zawartych w produkcie, w tym substancji czynnych</w:t>
      </w:r>
      <w:r>
        <w:t xml:space="preserve">, </w:t>
      </w:r>
      <w:r w:rsidRPr="0065101A">
        <w:t>skład ilościowy składników</w:t>
      </w:r>
      <w:r>
        <w:t xml:space="preserve">, </w:t>
      </w:r>
      <w:r w:rsidRPr="0065101A">
        <w:t xml:space="preserve">imię i nazwisko albo nazwę podmiotu, </w:t>
      </w:r>
      <w:r>
        <w:t xml:space="preserve">który składa powiadomienie, </w:t>
      </w:r>
      <w:r w:rsidRPr="0065101A">
        <w:t>imię i nazwisko albo nazwę producenta</w:t>
      </w:r>
      <w:r>
        <w:t xml:space="preserve">, </w:t>
      </w:r>
      <w:r w:rsidRPr="0065101A">
        <w:t>informację o postępowaniu, o którym mowa w art. 30 ust. 1</w:t>
      </w:r>
      <w:r>
        <w:t xml:space="preserve"> ustawy</w:t>
      </w:r>
      <w:r w:rsidRPr="0065101A">
        <w:t>, lub o zawartości składnika niedozwolonego</w:t>
      </w:r>
      <w:r>
        <w:t xml:space="preserve">, </w:t>
      </w:r>
      <w:r w:rsidRPr="0065101A">
        <w:t xml:space="preserve">uwagi </w:t>
      </w:r>
      <w:r>
        <w:t>–</w:t>
      </w:r>
      <w:r w:rsidRPr="0065101A">
        <w:t xml:space="preserve"> informacje dodatkowe o danym przypadku, w sytuacji gdy postępowanie nie było prowadzone, zostało zakończone lub produkt zawiera składnik niedozwolony.</w:t>
      </w:r>
    </w:p>
    <w:p w14:paraId="5407AC7B" w14:textId="77777777" w:rsidR="003641D9" w:rsidRDefault="003641D9" w:rsidP="003641D9">
      <w:pPr>
        <w:pStyle w:val="NIEARTTEKSTtekstnieartykuowanynppodstprawnarozplubpreambua"/>
      </w:pPr>
      <w:r>
        <w:lastRenderedPageBreak/>
        <w:t>Ponadto w projektowanej ustawie prowadza się zmiany usprawniające przeprowadzanie postępowań mających na celu wyjaśnienie</w:t>
      </w:r>
      <w:r w:rsidRPr="00087AD1">
        <w:t>, czy produkt objęty powiadomieniem, ze względu na jego skład, właściwości poszczególnych składników oraz przeznaczenie jest środkiem spożywczym zgodnie z zaproponowaną przez podmiot działający na rynku spożywczym kwalifikacją oraz czy spełnia wymagania dla danego rodzaju środka spożywczego</w:t>
      </w:r>
      <w:r>
        <w:t xml:space="preserve"> lub czy </w:t>
      </w:r>
      <w:r w:rsidRPr="00087AD1">
        <w:t>nie spełnia wymagań innego rodzaju produktu przeznaczonego do używania przez ludzi, w szczególności produktu leczniczego w rozumieniu przepisów prawa farmaceutycznego, produktu kosmetycznego w rozumieniu przepisów o produktach kosmetycznych lub wyrobu medycznego w rozumieniu przepisów o wyrobach medycznych.</w:t>
      </w:r>
      <w:r>
        <w:t xml:space="preserve"> W tym zakresie w dodawanym </w:t>
      </w:r>
      <w:r w:rsidRPr="00794558">
        <w:t xml:space="preserve">art. 31a ustawy wprowadza się przepisy stanowiące, że w przypadku, gdy w ramach prowadzonego postępowania GIS zobowiąże podmiot działający na rynku spożywczym do przedłożenia opinii jednostki naukowej lub Prezesa Urzędu Rejestracji Produktów Leczniczych, Wyrobów Medycznych i Produktów Biobójczych, zwanego dalej „Prezesem Urzędem”, termin na jej przedłożenie wynosi 6 miesięcy od dnia doręczenia wniosku o wydanie opinii jednostce naukowej lub Prezesowi Urzędu. Podmiot </w:t>
      </w:r>
      <w:r>
        <w:t>będzie</w:t>
      </w:r>
      <w:r w:rsidRPr="00794558">
        <w:t xml:space="preserve"> zobowiązany wystąpi</w:t>
      </w:r>
      <w:r>
        <w:t>enia</w:t>
      </w:r>
      <w:r w:rsidRPr="00794558">
        <w:t xml:space="preserve"> do jednostki naukowej lub do Prezesa Urzędu z wnioskiem o wydanie ww. opinii w terminie 14 dni od dnia otrzymania pisma ze zobowiązaniem do jej przedłożenia. Nieprzedłożenie w terminie 14 dni informacji o zwróceniu się podmiotu o wydanie opinii </w:t>
      </w:r>
      <w:r w:rsidRPr="00CD65E7">
        <w:t xml:space="preserve">będzie </w:t>
      </w:r>
      <w:r w:rsidRPr="00794558">
        <w:t>skutkować domniemaniem, że kwalifikacja środka spożywczego zaproponowana przez podmiot działający na rynku spożywczym jest nieprawidłowa oraz, że środek spożywczy nie spełnia wymagań dla danego rodzaju środka spożywczego. Należy również zaznaczyć, że czas niezbędny do wydania opinii nie wlicza się w okres prowadzenia postępowania, o którym mowa w art. 30 ust. 1 ustawy.</w:t>
      </w:r>
      <w:r>
        <w:t xml:space="preserve"> </w:t>
      </w:r>
      <w:r w:rsidRPr="00794558">
        <w:t xml:space="preserve">Proponowane zmiany przepisów ustawy w tym zakresie mają na celu </w:t>
      </w:r>
      <w:r w:rsidRPr="00995D20">
        <w:t xml:space="preserve">wyeliminowanie stosowanej przez podmioty praktyki celowego niewystępowania i nieprzedkładania opinii Prezesa Urzędu lub jednostki naukowej. </w:t>
      </w:r>
      <w:r w:rsidRPr="00EF1B09">
        <w:t xml:space="preserve">Na większość postanowień GIS zobowiązujących do przedłożenia ww. opinii nie wpłynęły odpowiedzi od podmiotów, a opinie nie zostały przedłożone. </w:t>
      </w:r>
      <w:r>
        <w:t>W związku z tym p</w:t>
      </w:r>
      <w:r w:rsidRPr="00995D20">
        <w:t>roponowane zmiany mają na celu</w:t>
      </w:r>
      <w:r>
        <w:t xml:space="preserve"> </w:t>
      </w:r>
      <w:r w:rsidRPr="00794558">
        <w:t xml:space="preserve">zmotywowanie podmiotów zgłaszających powiadomienie do szybkiego działania, a co za tym idzie eliminowania z obrotu produktów, które mogą nie spełniać wymagań dla danego rodzaju środka spożywczego. </w:t>
      </w:r>
      <w:r w:rsidRPr="00FC5646">
        <w:t>Proponowane przepisy usprawnią prowadzenie przez GIS</w:t>
      </w:r>
      <w:r>
        <w:t xml:space="preserve"> </w:t>
      </w:r>
      <w:r w:rsidRPr="00FC5646">
        <w:t xml:space="preserve">postępowania, a także przyśpieszą całą procedurę powiadamiania. </w:t>
      </w:r>
      <w:r w:rsidRPr="00794558">
        <w:t>Ponadto projektowane zmiany realizują wnioski pokontrolne Najwyższej Izby Kontroli</w:t>
      </w:r>
      <w:r w:rsidRPr="00995D20">
        <w:t xml:space="preserve"> z 2021 r. pn. „Wprowadzanie do obrotu suplementów diety.”, wskazujące na konieczność określenia w przepisach ustawy terminu na </w:t>
      </w:r>
      <w:r w:rsidRPr="00995D20">
        <w:lastRenderedPageBreak/>
        <w:t>przedstawienie przez podmioty opinii Prezesa Urzędu lub jednostki naukowej, lub dodatkowych informacji, w ramach postępowania wyjaśniającego GIS</w:t>
      </w:r>
      <w:r>
        <w:t>.</w:t>
      </w:r>
      <w:r w:rsidRPr="00995D20">
        <w:t xml:space="preserve"> Zmiana nakładająca na podmioty obowiązek dotrzymania wskazanych wyżej terminów pozwo</w:t>
      </w:r>
      <w:r>
        <w:t>l</w:t>
      </w:r>
      <w:r w:rsidRPr="00995D20">
        <w:t>i na skrócenie czasu prowadzonych postępowań</w:t>
      </w:r>
      <w:r w:rsidRPr="00794558">
        <w:t>.</w:t>
      </w:r>
    </w:p>
    <w:p w14:paraId="4570BEE7" w14:textId="77777777" w:rsidR="003641D9" w:rsidRPr="002E6159" w:rsidRDefault="003641D9" w:rsidP="003641D9">
      <w:pPr>
        <w:pStyle w:val="NIEARTTEKSTtekstnieartykuowanynppodstprawnarozplubpreambua"/>
      </w:pPr>
      <w:r>
        <w:t>Ponadto z uwagi na fakt, że p</w:t>
      </w:r>
      <w:r w:rsidRPr="009D1170">
        <w:t xml:space="preserve">odmioty, które </w:t>
      </w:r>
      <w:r>
        <w:t>GIS</w:t>
      </w:r>
      <w:r w:rsidRPr="009D1170">
        <w:t xml:space="preserve"> </w:t>
      </w:r>
      <w:r>
        <w:t xml:space="preserve">zobowiązuje </w:t>
      </w:r>
      <w:r w:rsidRPr="009D1170">
        <w:t>do przedłożenia opinii Prezesa URPL lub jednostki naukowej</w:t>
      </w:r>
      <w:r>
        <w:t>,</w:t>
      </w:r>
      <w:r w:rsidRPr="009D1170">
        <w:t xml:space="preserve"> często nie przedkładają </w:t>
      </w:r>
      <w:r>
        <w:t>tych</w:t>
      </w:r>
      <w:r w:rsidRPr="009D1170">
        <w:t xml:space="preserve"> opinii tylko </w:t>
      </w:r>
      <w:r>
        <w:t xml:space="preserve">przesyłają powiadomienie dotyczące wprowadzenia do obrotu </w:t>
      </w:r>
      <w:r w:rsidRPr="009D1170">
        <w:t>now</w:t>
      </w:r>
      <w:r>
        <w:t>ego</w:t>
      </w:r>
      <w:r w:rsidRPr="009D1170">
        <w:t xml:space="preserve"> produkt</w:t>
      </w:r>
      <w:r>
        <w:t>u</w:t>
      </w:r>
      <w:r w:rsidRPr="009D1170">
        <w:t xml:space="preserve"> o tożsam</w:t>
      </w:r>
      <w:r>
        <w:t>ym</w:t>
      </w:r>
      <w:r w:rsidRPr="009D1170">
        <w:t xml:space="preserve"> składzie jakościowo-ilościowym</w:t>
      </w:r>
      <w:r>
        <w:t xml:space="preserve">, w dodawanym </w:t>
      </w:r>
      <w:r w:rsidRPr="00794558">
        <w:t>art. 31a ustawy</w:t>
      </w:r>
      <w:r>
        <w:t xml:space="preserve"> wprowadza się przepis, zgodnie z którym d</w:t>
      </w:r>
      <w:r w:rsidRPr="00987214">
        <w:t xml:space="preserve">o czasu </w:t>
      </w:r>
      <w:r>
        <w:t>przedłożenia GIS opinii</w:t>
      </w:r>
      <w:r w:rsidRPr="00987214">
        <w:t xml:space="preserve">, podmiot nie </w:t>
      </w:r>
      <w:r>
        <w:t xml:space="preserve">będzie </w:t>
      </w:r>
      <w:r w:rsidRPr="00987214">
        <w:t>m</w:t>
      </w:r>
      <w:r>
        <w:t>ógł</w:t>
      </w:r>
      <w:r w:rsidRPr="00987214">
        <w:t xml:space="preserve"> złożyć</w:t>
      </w:r>
      <w:r>
        <w:t xml:space="preserve"> kolejnego</w:t>
      </w:r>
      <w:r w:rsidRPr="00987214">
        <w:t xml:space="preserve"> powiadomienia w trybie art. 29 ust</w:t>
      </w:r>
      <w:r>
        <w:t>.</w:t>
      </w:r>
      <w:r w:rsidRPr="00987214">
        <w:t xml:space="preserve"> 1 </w:t>
      </w:r>
      <w:r>
        <w:t xml:space="preserve">ustawy </w:t>
      </w:r>
      <w:r w:rsidRPr="00987214">
        <w:t xml:space="preserve">dla produktu o tożsamej nazwie i składzie jakościowo-ilościowym. </w:t>
      </w:r>
      <w:r>
        <w:t>Dodatkowo w</w:t>
      </w:r>
      <w:r w:rsidRPr="00987214">
        <w:t xml:space="preserve"> przypadku, gdy podmiot poinformuje </w:t>
      </w:r>
      <w:r>
        <w:t xml:space="preserve">GIS </w:t>
      </w:r>
      <w:r w:rsidRPr="00987214">
        <w:t xml:space="preserve">o rezygnacji z wprowadzania do obrotu produktu objętego powiadomieniem, dla którego podmiot </w:t>
      </w:r>
      <w:r>
        <w:t xml:space="preserve">ten </w:t>
      </w:r>
      <w:r w:rsidRPr="00987214">
        <w:t>został zobowiązany do przedłożenia opinii</w:t>
      </w:r>
      <w:r>
        <w:t xml:space="preserve">, </w:t>
      </w:r>
      <w:r w:rsidRPr="00987214">
        <w:t xml:space="preserve">nie </w:t>
      </w:r>
      <w:r>
        <w:t xml:space="preserve">będzie </w:t>
      </w:r>
      <w:r w:rsidRPr="00987214">
        <w:t>m</w:t>
      </w:r>
      <w:r>
        <w:t>ógł</w:t>
      </w:r>
      <w:r w:rsidRPr="00987214">
        <w:t xml:space="preserve"> ponownie złożyć powiadomienia dla produktu o tożsam</w:t>
      </w:r>
      <w:r>
        <w:t>ym</w:t>
      </w:r>
      <w:r w:rsidRPr="00987214">
        <w:t xml:space="preserve"> składzie jakościowo-ilościowym</w:t>
      </w:r>
      <w:r>
        <w:t xml:space="preserve">. Przedkładanie powiadomień o nowych produktach </w:t>
      </w:r>
      <w:r w:rsidRPr="00F14E64">
        <w:t>o tożsamym składzie jakościowo-ilościowym</w:t>
      </w:r>
      <w:r>
        <w:t>,</w:t>
      </w:r>
      <w:r w:rsidRPr="00F14E64">
        <w:t xml:space="preserve"> </w:t>
      </w:r>
      <w:r>
        <w:t xml:space="preserve">w przypadku rozpoczęcia postępowania wyjaśniającego GIS dla produktu objętego wcześniejszym powiadomieniem, jest </w:t>
      </w:r>
      <w:r w:rsidRPr="009D1170">
        <w:t>częst</w:t>
      </w:r>
      <w:r>
        <w:t>ą</w:t>
      </w:r>
      <w:r w:rsidRPr="009D1170">
        <w:t xml:space="preserve"> praktyk</w:t>
      </w:r>
      <w:r>
        <w:t>ą</w:t>
      </w:r>
      <w:r w:rsidRPr="009D1170">
        <w:t xml:space="preserve">, która prowadzi do nadmiernej </w:t>
      </w:r>
      <w:r>
        <w:t>liczby</w:t>
      </w:r>
      <w:r w:rsidRPr="009D1170">
        <w:t xml:space="preserve"> zgłoszeń do </w:t>
      </w:r>
      <w:r>
        <w:t xml:space="preserve">GIS, </w:t>
      </w:r>
      <w:r w:rsidRPr="009D1170">
        <w:t xml:space="preserve">a także </w:t>
      </w:r>
      <w:r>
        <w:t xml:space="preserve">zwiększa </w:t>
      </w:r>
      <w:r w:rsidRPr="009D1170">
        <w:t>pracochłonn</w:t>
      </w:r>
      <w:r>
        <w:t>ość spraw</w:t>
      </w:r>
      <w:r w:rsidRPr="009D1170">
        <w:t xml:space="preserve">, zarówno na </w:t>
      </w:r>
      <w:r>
        <w:t xml:space="preserve">poziomie GIS, jak i na </w:t>
      </w:r>
      <w:r w:rsidRPr="009D1170">
        <w:t xml:space="preserve">poziomie terenowych jednostek </w:t>
      </w:r>
      <w:r>
        <w:t>PIS</w:t>
      </w:r>
      <w:r w:rsidRPr="009D1170">
        <w:t xml:space="preserve">. Dublowanie powiadomień, dla których uprzednio zostało wszczęte postępowanie w trybie art. 30 ustawy powoduje, iż </w:t>
      </w:r>
      <w:r>
        <w:t>GIS</w:t>
      </w:r>
      <w:r w:rsidRPr="009D1170">
        <w:t xml:space="preserve"> rozpatruje kolejne powiadomienie</w:t>
      </w:r>
      <w:r>
        <w:t xml:space="preserve"> dotyczące produktów o takim samym s</w:t>
      </w:r>
      <w:r w:rsidRPr="00987214">
        <w:t>kładzie jakościowo-ilościowym</w:t>
      </w:r>
      <w:r w:rsidRPr="009D1170">
        <w:t>.</w:t>
      </w:r>
    </w:p>
    <w:p w14:paraId="1158840E" w14:textId="77777777" w:rsidR="003641D9" w:rsidRPr="00794558" w:rsidRDefault="003641D9" w:rsidP="003641D9">
      <w:pPr>
        <w:pStyle w:val="NIEARTTEKSTtekstnieartykuowanynppodstprawnarozplubpreambua"/>
      </w:pPr>
      <w:r w:rsidRPr="00794558">
        <w:t>Dodatkowo w projekcie ustawy</w:t>
      </w:r>
      <w:r>
        <w:t>,</w:t>
      </w:r>
      <w:r w:rsidRPr="00794558">
        <w:t xml:space="preserve"> </w:t>
      </w:r>
      <w:r>
        <w:t xml:space="preserve">dla spójności przepisów z dodawanym art. 31a ustawy, w art. 31 ustawy zmienia się </w:t>
      </w:r>
      <w:r w:rsidRPr="00794558">
        <w:t>wyraz „Urząd” na „Prezes Urzędu”.</w:t>
      </w:r>
      <w:r>
        <w:t xml:space="preserve"> Zmiana ta wynika z faktu, że zgodnie z</w:t>
      </w:r>
      <w:r w:rsidRPr="00794558">
        <w:t xml:space="preserve"> art. 2 ustawy z dnia 18 marca 2011 r. o Urzędzie Rejestracji Produktów Leczniczych, Wyrobów Medycznych i Produktów Biobójczych (Dz. U. z 202</w:t>
      </w:r>
      <w:r>
        <w:t>3</w:t>
      </w:r>
      <w:r w:rsidRPr="00794558">
        <w:t xml:space="preserve"> r. poz. </w:t>
      </w:r>
      <w:r>
        <w:t>1223</w:t>
      </w:r>
      <w:r w:rsidRPr="00794558">
        <w:t>) to Prezes Urzędu jest centralnym organem administracji rządowej</w:t>
      </w:r>
      <w:r>
        <w:t xml:space="preserve">, który wydaje na wniosek podmiotów opinie odnoszące się do kwestii spełniania przez </w:t>
      </w:r>
      <w:r w:rsidRPr="00671918">
        <w:t>środek spożywczy objęty powiadomieniem</w:t>
      </w:r>
      <w:r>
        <w:t xml:space="preserve"> </w:t>
      </w:r>
      <w:r w:rsidRPr="00671918">
        <w:t>wymagań produktu leczniczego określonego przepisami prawa</w:t>
      </w:r>
      <w:r>
        <w:t xml:space="preserve"> </w:t>
      </w:r>
      <w:r w:rsidRPr="00671918">
        <w:t>farmaceutycznego albo wyrobu medycznego w rozumieniu przepisów o wyrobach</w:t>
      </w:r>
      <w:r>
        <w:t xml:space="preserve"> </w:t>
      </w:r>
      <w:r w:rsidRPr="00671918">
        <w:t>medycznych</w:t>
      </w:r>
      <w:r>
        <w:t>.</w:t>
      </w:r>
    </w:p>
    <w:p w14:paraId="0BCEC24A" w14:textId="5E119451" w:rsidR="003641D9" w:rsidRDefault="003641D9" w:rsidP="003641D9">
      <w:pPr>
        <w:pStyle w:val="ARTartustawynprozporzdzenia"/>
      </w:pPr>
      <w:r w:rsidRPr="007E3798">
        <w:t xml:space="preserve">Ponadto projektowana ustawa wynika z potrzeby objęcia </w:t>
      </w:r>
      <w:r w:rsidRPr="00935432">
        <w:t>SEPIS i działającej w ramach tego systemu platformy e-Sanepid,</w:t>
      </w:r>
      <w:r>
        <w:t xml:space="preserve"> </w:t>
      </w:r>
      <w:r w:rsidRPr="007E3798">
        <w:t>procedury rejestracji i zatwierdzania zakładów produkujących żywność pochodzenia niezwierzęcego</w:t>
      </w:r>
      <w:r>
        <w:t>,</w:t>
      </w:r>
      <w:r w:rsidRPr="007E3798">
        <w:t xml:space="preserve"> zakładów prowadzących obrót </w:t>
      </w:r>
      <w:r w:rsidRPr="007E3798">
        <w:lastRenderedPageBreak/>
        <w:t>żywnością</w:t>
      </w:r>
      <w:r>
        <w:t xml:space="preserve"> oraz produkcję i obrót materiałami </w:t>
      </w:r>
      <w:r w:rsidRPr="007E3798">
        <w:t>i wyrob</w:t>
      </w:r>
      <w:r>
        <w:t>ami</w:t>
      </w:r>
      <w:r w:rsidRPr="007E3798">
        <w:t xml:space="preserve"> przeznaczony</w:t>
      </w:r>
      <w:r>
        <w:t>mi</w:t>
      </w:r>
      <w:r w:rsidRPr="007E3798">
        <w:t xml:space="preserve"> do</w:t>
      </w:r>
      <w:r>
        <w:t xml:space="preserve"> </w:t>
      </w:r>
      <w:r w:rsidRPr="007E3798">
        <w:t>kontaktu z żywnością, podlegających nadzorowi organów P</w:t>
      </w:r>
      <w:r>
        <w:t>IS</w:t>
      </w:r>
      <w:r w:rsidRPr="007E3798">
        <w:t xml:space="preserve">. Zmiany te </w:t>
      </w:r>
      <w:r>
        <w:t xml:space="preserve">dotyczą rozdziału 2 ustawy (art. 61–67 ustawy) i </w:t>
      </w:r>
      <w:r w:rsidRPr="007E3798">
        <w:t xml:space="preserve">mają na celu usprawnienie i ułatwienie tej procedury przez wprowadzenie automatyzacji załatwiania spraw związanych z rejestracją i zatwierdzaniem zakładów. </w:t>
      </w:r>
      <w:r>
        <w:t xml:space="preserve">Dodatkowo w projektowanej ustawie wprowadza się przepisy doprecyzowujące samą </w:t>
      </w:r>
      <w:r w:rsidRPr="007E3798">
        <w:t>procedur</w:t>
      </w:r>
      <w:r>
        <w:t>ę</w:t>
      </w:r>
      <w:r w:rsidRPr="007E3798">
        <w:t xml:space="preserve"> rejestracji i zatwierdzania zakładów podlegających nadzorowi organów </w:t>
      </w:r>
      <w:r>
        <w:t>PIS mając na względzie doświadczenie wynikające ze stosowania obecnie obowiązujących przepisów ustawy w tym zakresie.</w:t>
      </w:r>
    </w:p>
    <w:p w14:paraId="16004303" w14:textId="77777777" w:rsidR="003641D9" w:rsidRDefault="003641D9" w:rsidP="003641D9">
      <w:pPr>
        <w:pStyle w:val="ARTartustawynprozporzdzenia"/>
      </w:pPr>
      <w:r>
        <w:t>W</w:t>
      </w:r>
      <w:r w:rsidRPr="00FB72EE">
        <w:t>prowadza</w:t>
      </w:r>
      <w:r>
        <w:t>ne w p</w:t>
      </w:r>
      <w:r w:rsidRPr="00FB72EE">
        <w:t>rojektowan</w:t>
      </w:r>
      <w:r>
        <w:t xml:space="preserve">ej </w:t>
      </w:r>
      <w:r w:rsidRPr="00FB72EE">
        <w:t>ustaw</w:t>
      </w:r>
      <w:r>
        <w:t>ie</w:t>
      </w:r>
      <w:r w:rsidRPr="00FB72EE">
        <w:t xml:space="preserve"> zmiany przepisów dotyczących procedury rejestracji i zatwierdzania zakładów produkujących żywność pochodzenia niezwierzęcego oraz zakładów prowadzących obrót żywnością, mają na celu włączenie działań w tym zakresie do </w:t>
      </w:r>
      <w:r>
        <w:t xml:space="preserve">platformy e-Sanepid, działającej w ramach SEPIS. Załatwianie spraw związanych z </w:t>
      </w:r>
      <w:r w:rsidRPr="00935432">
        <w:t>rejestracj</w:t>
      </w:r>
      <w:r>
        <w:t>ą</w:t>
      </w:r>
      <w:r w:rsidRPr="00935432">
        <w:t xml:space="preserve"> i zatwierdzani</w:t>
      </w:r>
      <w:r>
        <w:t>em</w:t>
      </w:r>
      <w:r w:rsidRPr="00935432">
        <w:t xml:space="preserve"> zakładów</w:t>
      </w:r>
      <w:r>
        <w:t xml:space="preserve"> w systemie teleinformatycznym</w:t>
      </w:r>
      <w:r w:rsidRPr="00FB72EE">
        <w:t xml:space="preserve"> będzie ułatwieniem prowadzenia działalności gospodarczej oraz przyczyni się do obniżenia kosztów jej prowadzenia. W wyniku wprowadzonych zmian wszelkie czynności związane z rejestracją i zatwierdzaniem zakładów będą wykonywane jedynie </w:t>
      </w:r>
      <w:r>
        <w:t>za pomocą platformy e-Sanepid i systemu teleinformatycznego</w:t>
      </w:r>
      <w:r w:rsidRPr="00FB72EE">
        <w:t xml:space="preserve"> SEPIS i w związku z tym projekt ustawy zakłada rezygnację z wykonywania tych czynności w formie papierowej. </w:t>
      </w:r>
    </w:p>
    <w:p w14:paraId="2317916C" w14:textId="77777777" w:rsidR="003641D9" w:rsidRPr="00FB72EE" w:rsidRDefault="003641D9" w:rsidP="003641D9">
      <w:pPr>
        <w:pStyle w:val="ARTartustawynprozporzdzenia"/>
      </w:pPr>
      <w:r w:rsidRPr="00FB72EE">
        <w:t xml:space="preserve">Rozpoczęcie stosowania </w:t>
      </w:r>
      <w:r>
        <w:t xml:space="preserve">platformy e-Sanepid i </w:t>
      </w:r>
      <w:r w:rsidRPr="00FB72EE">
        <w:t>SEPIS w tym zakresie pozwoli na zoptymalizowanie, pod względem czasu, kosztów i efektywności tych czynności. W związku z tym podmioty działające na rynku spożyw</w:t>
      </w:r>
      <w:r>
        <w:t>czym</w:t>
      </w:r>
      <w:r w:rsidRPr="00FB72EE">
        <w:t xml:space="preserve"> będą składać wnioski o rejestrację zakładu, o zatwierdzenie i wpis do rejestru</w:t>
      </w:r>
      <w:r>
        <w:t>,</w:t>
      </w:r>
      <w:r w:rsidRPr="00FB72EE">
        <w:t xml:space="preserve"> o zmianę w rejestrze oraz o wykreślenie z rejestru za pośrednictwem konta </w:t>
      </w:r>
      <w:r>
        <w:t>na platformie e-Sanepid</w:t>
      </w:r>
      <w:r w:rsidRPr="00FB72EE">
        <w:t xml:space="preserve">. Czynności oraz wszelkie dokumenty (otrzymywane i wydawane) związane z rozpatrywaniem wniosków złożonych przez podmioty będą rejestrowane </w:t>
      </w:r>
      <w:r>
        <w:t xml:space="preserve">na platformie e-Sanepid oraz </w:t>
      </w:r>
      <w:r w:rsidRPr="00FB72EE">
        <w:t xml:space="preserve">w SEPIS, a całość dokumentacji w danej sprawie będzie gromadzona w formie elektronicznej. Oznacza to, że organy PIS będą rejestrować w SEPIS wydawane decyzje odnoszące się do zatwierdzenia zakładu oraz wykreślenia z rejestru zakładów, a także wydawane zaświadczenia o wpisie do rejestru zakładów oraz o wykreśleniu z rejestru zakładów. Dokumenty te docelowo będą wydawane wyłącznie w SEPIS w formie elektronicznej i będą do odebrania za pośrednictwem konta </w:t>
      </w:r>
      <w:r>
        <w:t>na platformie e-Sanepid</w:t>
      </w:r>
      <w:r w:rsidRPr="00FB72EE">
        <w:t>.</w:t>
      </w:r>
    </w:p>
    <w:p w14:paraId="5A32B313" w14:textId="77777777" w:rsidR="003641D9" w:rsidRPr="00FB72EE" w:rsidRDefault="003641D9" w:rsidP="003641D9">
      <w:pPr>
        <w:pStyle w:val="ARTartustawynprozporzdzenia"/>
      </w:pPr>
      <w:r w:rsidRPr="00FB72EE">
        <w:lastRenderedPageBreak/>
        <w:t>Projekt ustawy zakłada także, że za pomocą SEPIS prowadzony będzie rejestr zakładów podlegających nadzorowi organów PIS, a</w:t>
      </w:r>
      <w:r w:rsidRPr="00DF3C1A">
        <w:t xml:space="preserve">dministratorami danych zawartych w SEPIS i platformie e-Sanepid </w:t>
      </w:r>
      <w:r>
        <w:t>będą</w:t>
      </w:r>
      <w:r w:rsidRPr="00DF3C1A">
        <w:t xml:space="preserve"> GIS, państwowy wojewódzki inspektor sanitarny, państwowy powiatowy inspektor sanitarny i państwowy graniczny inspektor sanitarny</w:t>
      </w:r>
      <w:r w:rsidRPr="00FB72EE">
        <w:t xml:space="preserve">. Taka forma prowadzenia rejestru zakładów zapewni, że będzie </w:t>
      </w:r>
      <w:r>
        <w:t xml:space="preserve">dostępny </w:t>
      </w:r>
      <w:r w:rsidRPr="00FB72EE">
        <w:t xml:space="preserve">w formie elektronicznej i będzie zawierał wykaz wszystkich podmiotów nadzorowanych przez organy PIS. Organy </w:t>
      </w:r>
      <w:r>
        <w:t xml:space="preserve">PIS </w:t>
      </w:r>
      <w:r w:rsidRPr="00FB72EE">
        <w:t>będą miały obowiązek bieżącej aktualizacji danych w rejestrze.</w:t>
      </w:r>
    </w:p>
    <w:p w14:paraId="660CCDBF" w14:textId="77777777" w:rsidR="003641D9" w:rsidRDefault="003641D9" w:rsidP="003641D9">
      <w:pPr>
        <w:pStyle w:val="NIEARTTEKSTtekstnieartykuowanynppodstprawnarozplubpreambua"/>
      </w:pPr>
      <w:r>
        <w:t xml:space="preserve">W projektowanej ustawie </w:t>
      </w:r>
      <w:r w:rsidRPr="00794558">
        <w:t>uchyla się art. 87</w:t>
      </w:r>
      <w:r>
        <w:t xml:space="preserve"> ustawy</w:t>
      </w:r>
      <w:r w:rsidRPr="00794558">
        <w:t xml:space="preserve">, który powołuje Radę do Spraw Monitoringu Żywności i Żywienia. Działania określone w art. 87 ustawy o bezpieczeństwie żywności i żywienia są aktualnie realizowane przede wszystkim w ramach współpracy z instytutami naukowo-badawczymi i innymi jednostkami współpracującymi, a podstawą ich prowadzenia są wytyczne Unii Europejskiej oraz przepisy prawa. Rada do Spraw Monitoringu Żywności i Żywienia stanowiła jedynie wsparcie naukowe dla realizacji powyższych działań, a jej działalność nie była kluczowa dla efektywności prowadzonych monitoringów. Aktualnie Rada do Spraw Monitoringu Żywności i Żywienia nie prowadzi swojej działalności. </w:t>
      </w:r>
      <w:r w:rsidRPr="00132912">
        <w:t>Aktualny podział kompetencji oraz współpraca pomiędzy organami urzędowej kontroli żywności pozwalają na pełną i rzetelną wymianę informacji w zakresie planów monitoringu i realizacji zadań z zakresu urzędowej kontroli żywności. Działania w tym obszarze są realizowane na bieżąco. Plany urzędowej kontroli i monitoringu są opracowywane co roku i bazują na wieloletnim doświadczeniu oraz uwzględniają m.in. wyniki urzędowej kontroli i monitoringu prowadzonego w poprzednich latach, ocenę ryzyka oraz informacje n</w:t>
      </w:r>
      <w:r>
        <w:t>a temat</w:t>
      </w:r>
      <w:r w:rsidRPr="00132912">
        <w:t xml:space="preserve"> występujących zagrożeń, a także aktualnych i procedowanych zmian przepisów w obszarze bezpieczeństwa żywności. Eksperci naukowi współpracujący z Głównym Inspektorem Sanitarnym uczestniczą w posiedzeniach instytucji europejskich, gdzie </w:t>
      </w:r>
      <w:r w:rsidRPr="00CD65E7">
        <w:t xml:space="preserve">jest </w:t>
      </w:r>
      <w:r w:rsidRPr="00132912">
        <w:t xml:space="preserve">tworzone unijne prawo w zakresie bezpieczeństwa żywności, a także współpracują z Europejskim Urzędem ds. Bezpieczeństwa Żywności (EFSA). Wszystkie te informacje są brane pod uwagę, aby plany urzędowej kontroli i monitoringu były odpowiednio aktualizowane </w:t>
      </w:r>
      <w:r>
        <w:t>i</w:t>
      </w:r>
      <w:r w:rsidRPr="00132912">
        <w:t xml:space="preserve"> dopasowane do bieżących potrzeb. </w:t>
      </w:r>
      <w:r>
        <w:t xml:space="preserve">Obecny sposób tworzenia </w:t>
      </w:r>
      <w:r w:rsidRPr="00132912">
        <w:t xml:space="preserve">i realizacji planów urzędowej kontroli i monitoringu żywności </w:t>
      </w:r>
      <w:r>
        <w:t xml:space="preserve">oraz fakt, że dłuższego czasu nie zwołuje się spotkań Rady powoduje, że </w:t>
      </w:r>
      <w:r w:rsidRPr="00132912">
        <w:t>utrzymanie funkcjonowania Rady do Spraw Monitoringu Żywności i Żywienia nie jest zasadne.</w:t>
      </w:r>
    </w:p>
    <w:p w14:paraId="143DFD2B" w14:textId="77777777" w:rsidR="003641D9" w:rsidRDefault="003641D9" w:rsidP="003641D9">
      <w:pPr>
        <w:pStyle w:val="NIEARTTEKSTtekstnieartykuowanynppodstprawnarozplubpreambua"/>
      </w:pPr>
      <w:r w:rsidRPr="00794558">
        <w:t>Projekt ustawy zmienia art. 100 i 103 ustawy</w:t>
      </w:r>
      <w:r>
        <w:t>, które</w:t>
      </w:r>
      <w:r w:rsidRPr="00794558">
        <w:t xml:space="preserve"> zawierają przepisy </w:t>
      </w:r>
      <w:r>
        <w:t xml:space="preserve">karne i kary pieniężne. </w:t>
      </w:r>
      <w:r w:rsidRPr="004C25E6">
        <w:t xml:space="preserve">Zmiana wysokości kar pieniężnych ma zapewnić przestrzeganie przepisów ustawy </w:t>
      </w:r>
      <w:r w:rsidRPr="004C25E6">
        <w:lastRenderedPageBreak/>
        <w:t xml:space="preserve">przez podmioty działające na rynku spożywczym. </w:t>
      </w:r>
      <w:r>
        <w:t xml:space="preserve">Zgodnie z przepisami art. 139 </w:t>
      </w:r>
      <w:r w:rsidRPr="004D601C">
        <w:t>rozporządzeni</w:t>
      </w:r>
      <w:r>
        <w:t>a</w:t>
      </w:r>
      <w:r w:rsidRPr="004D601C">
        <w:t xml:space="preserve"> (UE) 2017/625</w:t>
      </w:r>
      <w:r>
        <w:t xml:space="preserve"> o</w:t>
      </w:r>
      <w:r w:rsidRPr="004C25E6">
        <w:t>rgany PIS</w:t>
      </w:r>
      <w:r>
        <w:t xml:space="preserve"> </w:t>
      </w:r>
      <w:r w:rsidRPr="004C25E6">
        <w:t>powinny mieć możliwość nakładania skutecznych, proporcjonalnych i odstraszających kar pieniężnych za naruszenie przepisów ustawy.</w:t>
      </w:r>
    </w:p>
    <w:p w14:paraId="292619DD" w14:textId="77777777" w:rsidR="003641D9" w:rsidRPr="00794558" w:rsidRDefault="003641D9" w:rsidP="003641D9">
      <w:pPr>
        <w:pStyle w:val="NIEARTTEKSTtekstnieartykuowanynppodstprawnarozplubpreambua"/>
      </w:pPr>
      <w:r>
        <w:t>Zmiana przepisów karnych dotyczy m.in. kar</w:t>
      </w:r>
      <w:r w:rsidRPr="00794558">
        <w:t xml:space="preserve"> odnosząc</w:t>
      </w:r>
      <w:r>
        <w:t>ych</w:t>
      </w:r>
      <w:r w:rsidRPr="00794558">
        <w:t xml:space="preserve"> się do wprowadzania po raz pierwszy do obrotu środków spożywczych objętych obowiązkiem powiadomienia GIS. Po uchyleniu art. 100 w ust. 1 pkt 3 </w:t>
      </w:r>
      <w:r>
        <w:t xml:space="preserve">ustawy </w:t>
      </w:r>
      <w:r w:rsidRPr="00794558">
        <w:t xml:space="preserve">oraz dodaniu projektowanego pkt 2a </w:t>
      </w:r>
      <w:r>
        <w:t xml:space="preserve">w art. 103 ustawy </w:t>
      </w:r>
      <w:r w:rsidRPr="00794558">
        <w:t>konsekwencją wprowadzania po raz pierwszy do obrotu środków spożywczych, o których mowa w art. 29 ust. 1 ustawy, bez powiadomienia GIS, będzie kara pieniężna – zamiast obecnej kary grzywny. Oznacza to, że wprowadzanie po raz pierwszy do obrotu środka spożywczego np. suplementu diety bez powiadomienia GIS będzie stanowiło delikt administracyjny, co oznacza nadanie kompetencji organom PIS</w:t>
      </w:r>
      <w:r>
        <w:t xml:space="preserve"> </w:t>
      </w:r>
      <w:r w:rsidRPr="00794558">
        <w:t xml:space="preserve">do nakładania kar pieniężnych za niedopełnienie obowiązku powiadomienia. </w:t>
      </w:r>
    </w:p>
    <w:p w14:paraId="35BAF273" w14:textId="77777777" w:rsidR="003641D9" w:rsidRDefault="003641D9" w:rsidP="003641D9">
      <w:pPr>
        <w:pStyle w:val="NIEARTTEKSTtekstnieartykuowanynppodstprawnarozplubpreambua"/>
      </w:pPr>
      <w:r w:rsidRPr="00794558">
        <w:t>W art. 103 ust. 1 ustawy zmienia się pkt 1 w celu wprowadzenia możliwości objęcia karami pieniężnymi podmiotów nieprzestrzegających wymagań w zakresie znakowania środków spożywczych, w tym w zakresie prezentacji, reklamy i promocji, określonych w art. 27 ust. 5</w:t>
      </w:r>
      <w:r>
        <w:t xml:space="preserve"> ustawy</w:t>
      </w:r>
      <w:r w:rsidRPr="00794558">
        <w:t>. Przepis ten określa, że oznakowanie, prezentacja i reklama suplementów diety nie mogą zawierać informacji stwierdzających lub sugerujących, że zbilansowana i zróżnicowana dieta nie może dostarczyć wystarczających dla organizmu ilości składników odżywczych.</w:t>
      </w:r>
      <w:r w:rsidRPr="00671918">
        <w:t xml:space="preserve"> W konsekwencji za nieprzestrzeganie tego przepisu będzie groziło nałożenie kary pieniężnej.</w:t>
      </w:r>
      <w:r w:rsidRPr="00794558">
        <w:t xml:space="preserve"> </w:t>
      </w:r>
    </w:p>
    <w:p w14:paraId="5FF40456" w14:textId="77777777" w:rsidR="003641D9" w:rsidRDefault="003641D9" w:rsidP="003641D9">
      <w:pPr>
        <w:pStyle w:val="NIEARTTEKSTtekstnieartykuowanynppodstprawnarozplubpreambua"/>
      </w:pPr>
      <w:r>
        <w:t xml:space="preserve">Ponadto w projektowanej ustawie zmienia się art. 103 ust. 1 pkt </w:t>
      </w:r>
      <w:r w:rsidRPr="00935432">
        <w:t>1b</w:t>
      </w:r>
      <w:r>
        <w:t xml:space="preserve"> ustawy w celu doprecyzowania, że kara pieniężna, która jest nakładana w przypadku </w:t>
      </w:r>
      <w:r w:rsidRPr="00935432">
        <w:t>nieprzestrzega</w:t>
      </w:r>
      <w:r>
        <w:t>nia</w:t>
      </w:r>
      <w:r w:rsidRPr="00935432">
        <w:t xml:space="preserve"> wymagań w zakresie znakowania środków spożywczych określonych w przepisach</w:t>
      </w:r>
      <w:r>
        <w:t xml:space="preserve"> wskazanych rozporządzeń unijnych (</w:t>
      </w:r>
      <w:r w:rsidRPr="00E34D47">
        <w:t>rozporządzenia nr 1333/2008 – w zakresie substancji dodatkowych,</w:t>
      </w:r>
      <w:r>
        <w:t xml:space="preserve"> </w:t>
      </w:r>
      <w:r w:rsidRPr="00E34D47">
        <w:t>rozporządzenia nr 1334/2008 – w zakresie aromatów,</w:t>
      </w:r>
      <w:r>
        <w:t xml:space="preserve"> </w:t>
      </w:r>
      <w:r w:rsidRPr="00E34D47">
        <w:t>rozporządzenia nr 1169/2011</w:t>
      </w:r>
      <w:r>
        <w:t xml:space="preserve">) dotyczy także </w:t>
      </w:r>
      <w:r w:rsidRPr="00935432">
        <w:t>prezentacji, reklamy i promocji</w:t>
      </w:r>
      <w:r>
        <w:t xml:space="preserve">. Informacje na temat produktu przekazywane konsumentom w znakowaniu żywności należy traktować jako całość, co oznacza, że informacje przekazywane w ramach </w:t>
      </w:r>
      <w:r w:rsidRPr="00935432">
        <w:t>prezentacji, reklamy i promocji</w:t>
      </w:r>
      <w:r>
        <w:t xml:space="preserve"> środków spożywczych również muszą być zgodne z przedmiotowymi przepisami.</w:t>
      </w:r>
      <w:r w:rsidRPr="008416C1">
        <w:t xml:space="preserve"> Zmiana w tym zakresie jest szczególnie istotna, ponieważ dotychczasowe przepisy dotyczą ogólnie kwestii niezgodności w zakresie znakowania żywności, a przepis nie precyzuje, że obejmuje to również niezgodną z przepisami prezentację, reklamę i promocję. Z tego względu dotychczasowe próby </w:t>
      </w:r>
      <w:r w:rsidRPr="008416C1">
        <w:lastRenderedPageBreak/>
        <w:t>nałożenia na podmioty kar za prezentację, reklamę i promocję suplementów diety sugerujące właściwości lecznicze lub przypisujące im właściwości, których nie posiadają te produkty, były kwestionowane przez podmioty, w szczególności duże firmy reprezentowane przez uznane kancelarii prawne, jako kary niewymienione wprost w przepisach karnych, co w wielu przypadkach utrudniało przeprowadzanie postępowania administracyjnego i nałożenie kary. Stąd zmiana wprowadzana w art. 100 ust. 1b ustawy ma na celu wskazanie wprost, że niezgodności w zakresie nieprzestrzegania wymagań w zakresie znakowania środków spożywczych dotyczą także prezentacji, reklamy i promocji, natomiast zmiana w art. 100 ust. 1 ustawy dotyczy możliwości nałożenia kary pieniężnej za stwierdzanie i sugerowanie w oznakowaniu, prezentacji i reklamie suplementów diety, że zbilansowana i zróżnicowana dieta nie może dostarczyć wystarczających dla organizmu ilości składników odżywczych.</w:t>
      </w:r>
    </w:p>
    <w:p w14:paraId="2F5739ED" w14:textId="7CEF8F47" w:rsidR="003641D9" w:rsidRDefault="003641D9" w:rsidP="003641D9">
      <w:pPr>
        <w:pStyle w:val="ARTartustawynprozporzdzenia"/>
      </w:pPr>
      <w:r>
        <w:t>Dodatkowo w art. 103 ust. 1 pkt 5 ustawy wprowadza się zmianę przepisu dotyczącego prowadzenia produkcji lub w</w:t>
      </w:r>
      <w:r w:rsidR="00327DEC">
        <w:t>p</w:t>
      </w:r>
      <w:r>
        <w:t xml:space="preserve">rowadzania do obrotu żywności w zakresie niezgodnym ze zgłoszonym do organu nadzoru zakresem tej działalności. Zmiana ta ma na celu umożliwienie objęcie karą pieniężną również prowadzenia działalności </w:t>
      </w:r>
      <w:r w:rsidRPr="001F534B">
        <w:t>w zakresie niezgodnym z zakresem rejestracji</w:t>
      </w:r>
      <w:r>
        <w:t xml:space="preserve">. W obecnym brzmieniu kara pieniężna może być nałożona w przypadku prowadzania działalności w </w:t>
      </w:r>
      <w:r w:rsidRPr="0010182A">
        <w:t xml:space="preserve">zakresie niezgodnym z decyzją o zatwierdzeniu zakładu, </w:t>
      </w:r>
    </w:p>
    <w:p w14:paraId="4055F50A" w14:textId="4D164A3B" w:rsidR="003641D9" w:rsidRDefault="003641D9" w:rsidP="003641D9">
      <w:pPr>
        <w:pStyle w:val="NIEARTTEKSTtekstnieartykuowanynppodstprawnarozplubpreambua"/>
      </w:pPr>
      <w:r>
        <w:t>Ponadto zmiany wymaga o</w:t>
      </w:r>
      <w:r w:rsidRPr="00794558">
        <w:t>becny maksymalny limit kary pieniężnej</w:t>
      </w:r>
      <w:r>
        <w:t xml:space="preserve">, który </w:t>
      </w:r>
      <w:r w:rsidRPr="00794558">
        <w:t>nie spełnia tych kryteriów</w:t>
      </w:r>
      <w:r>
        <w:t xml:space="preserve"> </w:t>
      </w:r>
      <w:r w:rsidRPr="004C25E6">
        <w:t>skutecznych, proporcjonalnych i odstraszających kar pieniężnych za naruszenie przepisów ustawy</w:t>
      </w:r>
      <w:r>
        <w:t>, co</w:t>
      </w:r>
      <w:r w:rsidRPr="00794558">
        <w:t xml:space="preserve"> w szczególności </w:t>
      </w:r>
      <w:r>
        <w:t xml:space="preserve">dotyczy </w:t>
      </w:r>
      <w:r w:rsidRPr="00794558">
        <w:t xml:space="preserve">podmiotów profesjonalnych tj. dużych podmiotów, których podstawową działalnością jest produkcja i wprowadzanie do obrotu na znaczną skalę suplementów diety. </w:t>
      </w:r>
      <w:r w:rsidRPr="00F76324">
        <w:t>Problem dotyczy przede wszystkim nieprzestrzegania przepisów w zakresie prezentacji, reklamy i promocji suplementów diety przez duże podmioty, które wprowadzają do obrotu duże partie produktów o znacznej wartości, z wykorzystaniem mediów o dużym zasięgu np. telewizję i radio,</w:t>
      </w:r>
      <w:r w:rsidR="00327DEC">
        <w:t xml:space="preserve"> Internet,</w:t>
      </w:r>
      <w:r w:rsidRPr="00F76324">
        <w:t xml:space="preserve"> przy jednocześnie stosowanej przez podmioty praktyce kwestionowania kar za prezentację, reklamę i promocję, które nie są wprost objęte przepisami dotyczącymi kar pieniężnych</w:t>
      </w:r>
      <w:r>
        <w:t xml:space="preserve">. </w:t>
      </w:r>
      <w:r w:rsidRPr="00794558">
        <w:t>W związku z tym obecny maksymalny limit kary pieniężnej</w:t>
      </w:r>
      <w:r>
        <w:t xml:space="preserve">, określony w części wspólnej art. 103 ust. 1 ustawy, </w:t>
      </w:r>
      <w:r w:rsidRPr="00794558">
        <w:t xml:space="preserve">w wysokości do trzydziestokrotnego przeciętnego wynagrodzenia miesięcznego w gospodarce narodowej za rok poprzedzający, ogłaszanego przez Prezesa Głównego Urzędu Statystycznego, na podstawie przepisów o emeryturach i rentach z Funduszu Ubezpieczeń Społecznych, w Dzienniku Urzędowym Rzeczypospolitej Polskiej „Monitor Polski”, zostanie zmieniony na limit w </w:t>
      </w:r>
      <w:r w:rsidRPr="00794558">
        <w:lastRenderedPageBreak/>
        <w:t>wysokości do stukrotnego przeciętnego wynagrodzenia miesięcznego w gospodarce narodowej za rok poprzedzający.</w:t>
      </w:r>
      <w:r>
        <w:t xml:space="preserve"> Ma to z</w:t>
      </w:r>
      <w:r w:rsidRPr="00F76324">
        <w:t xml:space="preserve">apewnić, aby kary były skuteczne, proporcjonalne i odstraszające, zgodnie z przepisami art. 139 rozporządzenia (UE) 2017/625. </w:t>
      </w:r>
    </w:p>
    <w:p w14:paraId="3CA66676" w14:textId="77777777" w:rsidR="003641D9" w:rsidRPr="00F76324" w:rsidRDefault="003641D9" w:rsidP="003641D9">
      <w:pPr>
        <w:pStyle w:val="NIEARTTEKSTtekstnieartykuowanynppodstprawnarozplubpreambua"/>
      </w:pPr>
      <w:r w:rsidRPr="00F76324">
        <w:t>Przewinienia, za które będzie można nałożyć zgodnie z przepisami ustawy kary pieniężne w wyższym limicie, będą dotyczyły znakowania środków spożywczych, w tym w zakresie prezentacji, reklamy i promocji, wprowadzania do obrotu jako żywności produktu niebędącego żywnością oraz niewycofywania z obrotu środka spożywczego szkodliwego dla zdrowia lub życia człowieka, środka spożywczego zepsutego oraz środka spożywczego zafałszowanego. Wysokość tych kar może być wymierzona do pięciokrotnej wartości brutto zakwestionowanej ilości środka spożywczego lub produktu niebędącego żywnością wprowadzonego do obrotu jako żywność. Ponadto wyższy limit kary będzie dotyczyć produkowania lub wprowadzania do obrotu żywności w zakresie niezgodnym z decyzją o zatwierdzeniu zakładu, prowadzenia działalności w zakresie produkcji lub obrotu żywnością wbrew decyzji o cofnięciu lub zawieszeniu zatwierdzenia zakładu lub wbrew decyzji o czasowym zawieszeniu działania lub zamknięciu całego lub części danego zakładu oraz przypadków utrudniania lub uniemożliwiania przeprowadzenia urzędowej kontroli żywności. Dodatkowo, w projektowanej ustawie, dodaje się możliwość nałożenia zamiast kary grzywny kary pieniężnej w zwiększonym limicie za wprowadzanie po raz pierwszy do obrotu środków spożywczych bez powiadomienia GIS, co spowoduje, że kara będzie bardziej dotkliwa dla podmiotów. Pomimo zwiększenia limitu wysokości kar pieniężnych podkreślić należy, że ustalając wysokość kary pieniężnej właściwy organ zawsze uwzględnia stopień szkodliwości czynu, stopień zawinienia i zakres naruszenia, dotychczasową działalność podmiotu działającego na rynku spożywczym i wielkość produkcji zakładu. Stąd należy się spodziewać, że nakładane kary po zmianie przepisów w tym zakresie będą skuteczne i proporcjonalne.</w:t>
      </w:r>
    </w:p>
    <w:p w14:paraId="56B590F0" w14:textId="706B90E5" w:rsidR="003641D9" w:rsidRPr="00F76324" w:rsidRDefault="003641D9" w:rsidP="003641D9">
      <w:pPr>
        <w:pStyle w:val="NIEARTTEKSTtekstnieartykuowanynppodstprawnarozplubpreambua"/>
      </w:pPr>
      <w:r w:rsidRPr="00F76324">
        <w:t xml:space="preserve">Podwyższenie kary pieniężnej z obecnego maksymalnego limitu trzydziestokrotnego przeciętnego wynagrodzenia do stukrotnego przeciętnego wynagrodzenia miesięcznego w gospodarce narodowej ma na celu w szczególności wyeliminowanie widocznej w ostatnich latach praktyki przypisywania suplementom diety właściwości leczniczych w prezentacji, reklamie i promocji lub przypisywania im właściwości, których nie posiadają te produkty, a więc nieprawidłowego tj. niezgodnego z przepisami znakowania obejmującego prezentację, reklamę i promocję tych produktów. Ustalony wyższy limit kary za niegodną z przepisami prezentację, reklamę i promocję ma dotyczyć głównie dużych podmiotów, o dużym udziale w </w:t>
      </w:r>
      <w:r w:rsidRPr="00F76324">
        <w:lastRenderedPageBreak/>
        <w:t>rynku i dużej wielkości sprzedaży, których działania mogą obejmować wszystkich konsumentów przez korzystane z mediów o dużym zasięgu np. telewizję i radio</w:t>
      </w:r>
      <w:r w:rsidR="00327DEC">
        <w:t>, Internet</w:t>
      </w:r>
      <w:r w:rsidRPr="00F76324">
        <w:t xml:space="preserve">. Korzystanie z tych mediów wymaga dużych zasobów finansowych, na co mogą sobie pozwolić jedynie duże i zasobne przedsiębiorstwa o ogólnopolskim zasięgu. Pomimo, że wysokość kary pieniężnej w tym przypadku może być wymierzona do pięciokrotnej wartości brutto zakwestionowanej ilości środka spożywczego, to w przypadku, gdy wartość zakwestionowanej ilości produktu byłaby wyższa niż kara do obecnego limitu trzydziestokrotnego przeciętnego wynagrodzenia, organ nie miałby możliwości wymierzenia kary proporcjonalnej do przewinienia. Z tego względu podnosi się limit kar pieniężnych do stukrotnego przeciętnego wynagrodzenia miesięcznego w gospodarce narodowej za rok poprzedzający ogłaszanego przez Prezesa Głównego Urzędu Statystycznego. Dotychczas kary w takim limicie nie były wymierzane, ponieważ podmioty podważały w ogóle zasadność nakładania kar za niezgodności w zakresie prezentacji, reklamy i promocji. Stąd doprecyzowanie, że kara pieniężna dotyczy niezgodnej z przepisami prezentacji, reklamy i promocji, jak i dodatkowe podwyższenie limitu kar, ma zapewnić że kary będą odstraszające. </w:t>
      </w:r>
    </w:p>
    <w:p w14:paraId="0E861963" w14:textId="77777777" w:rsidR="003641D9" w:rsidRPr="002A0AE1" w:rsidRDefault="003641D9" w:rsidP="003641D9">
      <w:pPr>
        <w:pStyle w:val="ARTartustawynprozporzdzenia"/>
      </w:pPr>
      <w:r>
        <w:t xml:space="preserve">Ponadto </w:t>
      </w:r>
      <w:r w:rsidRPr="002A0AE1">
        <w:t>w części wspólnej art. 103 ust. 1 ustawy</w:t>
      </w:r>
      <w:r>
        <w:t xml:space="preserve"> wprowadza się zmianę w celu doprecyzowania, że </w:t>
      </w:r>
      <w:r w:rsidRPr="00F82CDE">
        <w:t>wysokoś</w:t>
      </w:r>
      <w:r>
        <w:t>ć</w:t>
      </w:r>
      <w:r w:rsidRPr="00F82CDE">
        <w:t xml:space="preserve"> kar</w:t>
      </w:r>
      <w:r>
        <w:t>y</w:t>
      </w:r>
      <w:r w:rsidRPr="00F82CDE">
        <w:t xml:space="preserve"> pieniężnej </w:t>
      </w:r>
      <w:r>
        <w:t xml:space="preserve">może być wymierzona </w:t>
      </w:r>
      <w:r w:rsidRPr="00F82CDE">
        <w:t>do trzydziestokrotnego przeciętnego wynagrodzenia miesięcznego w gospodarce narodowej za rok poprzedzający</w:t>
      </w:r>
      <w:r>
        <w:t xml:space="preserve"> </w:t>
      </w:r>
      <w:r w:rsidRPr="00F82CDE">
        <w:t>decyzję ustalającą wymiar kary</w:t>
      </w:r>
      <w:r>
        <w:t>. Już sama redakcja oraz wy</w:t>
      </w:r>
      <w:r w:rsidRPr="00F82CDE">
        <w:t xml:space="preserve">ładnia językowa </w:t>
      </w:r>
      <w:r>
        <w:t xml:space="preserve">przedmiotowego </w:t>
      </w:r>
      <w:r w:rsidRPr="00F82CDE">
        <w:t xml:space="preserve">przepisu </w:t>
      </w:r>
      <w:r>
        <w:t>wskazuje</w:t>
      </w:r>
      <w:r w:rsidRPr="00F82CDE">
        <w:t xml:space="preserve">, </w:t>
      </w:r>
      <w:r>
        <w:t>że</w:t>
      </w:r>
      <w:r w:rsidRPr="00F82CDE">
        <w:t xml:space="preserve"> sformułowanie „rok poprzedzający” odnosi się do sformułowania „kary pieniężnej”</w:t>
      </w:r>
      <w:r>
        <w:t xml:space="preserve">, natomiast przepis w obecnym brzmieniu budzi wątpliwości interpretacyjne. W związku z tym </w:t>
      </w:r>
      <w:r w:rsidRPr="0094778E">
        <w:t>w celu uniknięcia błędnej interpretacji</w:t>
      </w:r>
      <w:r>
        <w:t>, że p</w:t>
      </w:r>
      <w:r w:rsidRPr="00D6485D">
        <w:t>odstaw</w:t>
      </w:r>
      <w:r>
        <w:t>ą</w:t>
      </w:r>
      <w:r w:rsidRPr="00D6485D">
        <w:t xml:space="preserve"> naliczenia kary pieniężnej </w:t>
      </w:r>
      <w:r>
        <w:t xml:space="preserve">powinno być </w:t>
      </w:r>
      <w:r w:rsidRPr="00D6485D">
        <w:t>przeciętne miesięczne</w:t>
      </w:r>
      <w:r>
        <w:t xml:space="preserve"> </w:t>
      </w:r>
      <w:r w:rsidRPr="00D6485D">
        <w:t>wynagrodzeni</w:t>
      </w:r>
      <w:r>
        <w:t xml:space="preserve">e </w:t>
      </w:r>
      <w:r w:rsidRPr="00D6485D">
        <w:t xml:space="preserve">w gospodarce narodowej </w:t>
      </w:r>
      <w:r>
        <w:t xml:space="preserve">za rok inny niż </w:t>
      </w:r>
      <w:r w:rsidRPr="0094778E">
        <w:t xml:space="preserve">rok poprzedzający wymierzenie kary </w:t>
      </w:r>
      <w:r>
        <w:t xml:space="preserve">np. </w:t>
      </w:r>
      <w:r w:rsidRPr="0094778E">
        <w:t>poprzedzający wprowadzenie produktu do obrotu</w:t>
      </w:r>
      <w:r>
        <w:t xml:space="preserve">, </w:t>
      </w:r>
      <w:r w:rsidRPr="0094778E">
        <w:t>część wspólną art. 103 ust. 1 ustawy należy odpowiednio zmienić.</w:t>
      </w:r>
    </w:p>
    <w:p w14:paraId="4988A868" w14:textId="77777777" w:rsidR="003641D9" w:rsidRDefault="003641D9" w:rsidP="003641D9">
      <w:pPr>
        <w:pStyle w:val="NIEARTTEKSTtekstnieartykuowanynppodstprawnarozplubpreambua"/>
      </w:pPr>
      <w:r w:rsidRPr="00794558">
        <w:t>Ze względu na zmiany przepisów dotyczących zasad prowadzenia postępowania wyjaśniającego przez GIS</w:t>
      </w:r>
      <w:r>
        <w:t xml:space="preserve"> </w:t>
      </w:r>
      <w:r w:rsidRPr="00794558">
        <w:t>należy wprowadzić przepisy przejściowe dotyczące produktów, w odniesieniu do których GIS</w:t>
      </w:r>
      <w:r>
        <w:t xml:space="preserve"> </w:t>
      </w:r>
      <w:r w:rsidRPr="00794558">
        <w:t xml:space="preserve">otrzymał </w:t>
      </w:r>
      <w:r>
        <w:t xml:space="preserve">już </w:t>
      </w:r>
      <w:r w:rsidRPr="00794558">
        <w:t xml:space="preserve">powiadomienie o pierwszym wprowadzeniu do obrotu np. suplementów diety. W związku z tym w art. 3 projektu ustawy </w:t>
      </w:r>
      <w:r w:rsidRPr="00CD65E7">
        <w:t xml:space="preserve">zostało </w:t>
      </w:r>
      <w:r w:rsidRPr="00794558">
        <w:t xml:space="preserve">określone, że do powiadomień złożonych do GIS, na podstawie art. 29 ustawy, do dnia wejścia w życie niniejszej ustawy, stosuje się przepisy w brzmieniu nadanym niniejszą ustawą. Intencją jest, </w:t>
      </w:r>
      <w:r w:rsidRPr="00794558">
        <w:lastRenderedPageBreak/>
        <w:t>aby w odniesieniu do spraw nierozpatrzonych do dnia wejścia w życie ustawy miały zastosowanie przepisy projektowanej ustawy.</w:t>
      </w:r>
    </w:p>
    <w:p w14:paraId="1AB17586" w14:textId="77777777" w:rsidR="003641D9" w:rsidRDefault="003641D9" w:rsidP="003641D9">
      <w:pPr>
        <w:pStyle w:val="ARTartustawynprozporzdzenia"/>
      </w:pPr>
      <w:r>
        <w:t xml:space="preserve">Ponadto projektowana ustawa w art. 2 wprowadza </w:t>
      </w:r>
      <w:r w:rsidRPr="00782826">
        <w:t xml:space="preserve">zmiany do ustawy </w:t>
      </w:r>
      <w:r>
        <w:t xml:space="preserve">z dnia 14 marca 1985 r. </w:t>
      </w:r>
      <w:r w:rsidRPr="00782826">
        <w:t>o Państwowej Inspekcji Sanitarnej</w:t>
      </w:r>
      <w:r>
        <w:t xml:space="preserve">, które </w:t>
      </w:r>
      <w:r w:rsidRPr="00782826">
        <w:t xml:space="preserve">mają na celu automatyzację załatwiania spraw obsługiwanych przez </w:t>
      </w:r>
      <w:r>
        <w:t>PIS</w:t>
      </w:r>
      <w:r w:rsidRPr="00782826">
        <w:t>. Instytucja jaką jest PIS odegrała szczególnie ważną rolę podczas pandemii COVID-19. Stosowane podczas pandemii rozwiązania teleinformatyczne ułatwiły wykonywanie jej zadań, co spotkało się z pozytywnym odbiorem społeczeństwa. PIS wykonuje wiele zadań z zakresu zapewnienia bezpieczeństwa sanitarnego obywateli. Tym samym jest zasadne wyposażenie jej organów w kompleksowy system teleinformatyczny, który umożliwi efektywne wykonywanie zadań kluczowych dla zapewnienia bezpieczeństwa zdrowotnego Polaków.</w:t>
      </w:r>
    </w:p>
    <w:p w14:paraId="24F6640F" w14:textId="77777777" w:rsidR="003641D9" w:rsidRPr="00782826" w:rsidRDefault="003641D9" w:rsidP="003641D9">
      <w:pPr>
        <w:pStyle w:val="ARTartustawynprozporzdzenia"/>
      </w:pPr>
      <w:r>
        <w:t>SEPIS oraz działająca w ramach tego systemu p</w:t>
      </w:r>
      <w:r w:rsidRPr="00782826">
        <w:t>latforma e-Sanepid stanowi odpowiedź na oczekiwania przedsiębiorców, dla których cyfryzacja usług świadczonych przez PIS będzie ułatwieniem prowadzenia działalności gospodarczej oraz przyczyni się do obniżenie kosztów jej prowadzenia. Ponadto platforma e-Sanepid jako podstawowe narzędzie wykorzystywane w kontaktach obywateli z organami PIS wpisuje się w skutecznie prowadzoną politykę cyfryzacji państwa. Zgodnie z globalnymi trendami celem platformy e-Sanepid jest znaczne ograniczenie, a z czasem wyeliminowanie dokumentów w postaci papierowej.</w:t>
      </w:r>
    </w:p>
    <w:p w14:paraId="1B6946C7" w14:textId="77777777" w:rsidR="003641D9" w:rsidRPr="00782826" w:rsidRDefault="003641D9" w:rsidP="003641D9">
      <w:pPr>
        <w:pStyle w:val="ARTartustawynprozporzdzenia"/>
      </w:pPr>
      <w:r w:rsidRPr="00782826">
        <w:t>SEPIS pozwoli na zoptymalizowanie, pod względem czasu, kosztów i efektywności, realizacji zadań wykonywanych przez organy PIS. Szybki przepływ informacji pomiędzy rozbudowanymi terenowo strukturami PIS ma szczególne znaczenie dla realizacji zadań mających na celu zapewnienie bezpieczeństwa życia i zdrowia obywateli. W tym celu niezbędne jest stworzenie kompleksowego systemu teleinformatycznego umożliwiającego gromadzenie, analizowanie i przetwarzanie danych kluczowych dla przeciwdziałania zagrożeniom zdrowotnym.</w:t>
      </w:r>
    </w:p>
    <w:p w14:paraId="30CD0408" w14:textId="77777777" w:rsidR="003641D9" w:rsidRDefault="003641D9" w:rsidP="003641D9">
      <w:pPr>
        <w:pStyle w:val="ARTartustawynprozporzdzenia"/>
      </w:pPr>
      <w:r w:rsidRPr="00782826">
        <w:t>Platforma e-Sanepid oraz SEPIS zapewnią obywatelom, przedsiębiorcom i organom PIS</w:t>
      </w:r>
      <w:r>
        <w:t xml:space="preserve"> </w:t>
      </w:r>
      <w:r w:rsidRPr="00782826">
        <w:t xml:space="preserve">pakiet spójnych i komplementarnych usług online umożliwiających kompleksowe załatwianie spraw. Platforma e-Sanepid ułatwi przedsiębiorcom wywiązywanie się z obowiązków wynikających z prowadzenia działalności gospodarczej podlegającej nadzorowi organów PIS. W konsekwencji platforma e-Sanepid przyczyni się do zmniejszenia obciążeń biurokratycznych dla obywateli, w tym przedsiębiorców. Przede wszystkim system teleinformatyczny pozwoli na prowadzenie postępowań administracyjnych zgodnie z </w:t>
      </w:r>
      <w:r w:rsidRPr="00782826">
        <w:lastRenderedPageBreak/>
        <w:t xml:space="preserve">przepisami </w:t>
      </w:r>
      <w:r>
        <w:t>KPA</w:t>
      </w:r>
      <w:r w:rsidRPr="00782826">
        <w:t>. W tym celu niezbędne jest wprowadzenie rozwiązań ustawowych pozwalających na składanie oraz rozpatrywanie wniosków, w tym prowadzenie korespondencji w sprawach załatwianych przez organy PIS, za pośrednictwem konta na platformie e-Sanepid.</w:t>
      </w:r>
    </w:p>
    <w:p w14:paraId="4420622D" w14:textId="77777777" w:rsidR="003641D9" w:rsidRDefault="003641D9" w:rsidP="003641D9">
      <w:pPr>
        <w:pStyle w:val="ARTartustawynprozporzdzenia"/>
      </w:pPr>
      <w:r>
        <w:t>Ponadto określono zakresy danych o</w:t>
      </w:r>
      <w:r w:rsidRPr="00ED28D0">
        <w:t xml:space="preserve">sób fizycznych oraz podmiotów wykonujących zadania na rzecz zdrowia publicznego wskazane w ustawie </w:t>
      </w:r>
      <w:r>
        <w:t>przetwarzanych w SEPIS i platformie e-Sanepid oraz wskazano zabezpieczenia d</w:t>
      </w:r>
      <w:r w:rsidRPr="00ED28D0">
        <w:t>an</w:t>
      </w:r>
      <w:r>
        <w:t>ych</w:t>
      </w:r>
      <w:r w:rsidRPr="00ED28D0">
        <w:t xml:space="preserve"> osobow</w:t>
      </w:r>
      <w:r>
        <w:t>ych</w:t>
      </w:r>
      <w:r w:rsidRPr="00ED28D0">
        <w:t xml:space="preserve"> przetwarzan</w:t>
      </w:r>
      <w:r>
        <w:t>ych</w:t>
      </w:r>
      <w:r w:rsidRPr="00ED28D0">
        <w:t xml:space="preserve"> w SEPIS zapobiegając</w:t>
      </w:r>
      <w:r>
        <w:t>e</w:t>
      </w:r>
      <w:r w:rsidRPr="00ED28D0">
        <w:t xml:space="preserve"> nadużyciom lub niezgodnemu z prawem dostępowi lub przekazywaniu</w:t>
      </w:r>
      <w:r>
        <w:t>.</w:t>
      </w:r>
    </w:p>
    <w:p w14:paraId="296325D3" w14:textId="77777777" w:rsidR="003641D9" w:rsidRDefault="003641D9" w:rsidP="003641D9">
      <w:pPr>
        <w:pStyle w:val="ARTartustawynprozporzdzenia"/>
      </w:pPr>
      <w:r>
        <w:t xml:space="preserve">Ważną zmianą jest wprowadzenie zapisów umożliwiających </w:t>
      </w:r>
      <w:r w:rsidRPr="00ED28D0">
        <w:t>systematyczne aktualizowan</w:t>
      </w:r>
      <w:r>
        <w:t>i</w:t>
      </w:r>
      <w:r w:rsidRPr="00ED28D0">
        <w:t>e i weryfikowan</w:t>
      </w:r>
      <w:r>
        <w:t>i</w:t>
      </w:r>
      <w:r w:rsidRPr="00ED28D0">
        <w:t xml:space="preserve">e </w:t>
      </w:r>
      <w:r>
        <w:t>d</w:t>
      </w:r>
      <w:r w:rsidRPr="00ED28D0">
        <w:t>an</w:t>
      </w:r>
      <w:r>
        <w:t>ych</w:t>
      </w:r>
      <w:r w:rsidRPr="00ED28D0">
        <w:t xml:space="preserve"> identyfikując</w:t>
      </w:r>
      <w:r>
        <w:t>ych</w:t>
      </w:r>
      <w:r w:rsidRPr="00ED28D0">
        <w:t xml:space="preserve"> podmiot z urzędu na podstawie informacji pochodzących z innych ewidencji lub rejestrów publicznych prowadzonych przez organy lub podmioty wykonujące zadania publiczne, do których Główny Inspektor Sanitarny, państwowy wojewódzki inspektor sanitarny, państwowy powiatowy inspektor sanitarny i państwowy graniczny inspektor sanitarny mają dostęp z mocy prawa, i nie wymagają rozstrzygnięcia w drodze decyzji administracyjnej.</w:t>
      </w:r>
    </w:p>
    <w:p w14:paraId="5BAEE272" w14:textId="77777777" w:rsidR="003641D9" w:rsidRDefault="003641D9" w:rsidP="003641D9">
      <w:pPr>
        <w:pStyle w:val="ARTartustawynprozporzdzenia"/>
      </w:pPr>
      <w:r w:rsidRPr="003E577E">
        <w:t xml:space="preserve">Ponadto </w:t>
      </w:r>
      <w:r>
        <w:t xml:space="preserve">projekt </w:t>
      </w:r>
      <w:r w:rsidRPr="003E577E">
        <w:t>ustaw</w:t>
      </w:r>
      <w:r>
        <w:t>y</w:t>
      </w:r>
      <w:r w:rsidRPr="003E577E">
        <w:t xml:space="preserve"> wprowadza </w:t>
      </w:r>
      <w:r>
        <w:t>prze</w:t>
      </w:r>
      <w:r w:rsidRPr="003E577E">
        <w:t>pisy dotyczące nieodpłatnego udostępniania informacji i danych niezbędnych do wykonywania zadań organów Państwowej Inspekcji Sanitarnej przez organy administracji rządowej i samorządowej oraz państwowe jednostki organizacyjne. Na wniosek Głównego Inspektora Sanitarnego udostępniane mają być dane w szczególności niezbędne do</w:t>
      </w:r>
      <w:r>
        <w:t xml:space="preserve"> </w:t>
      </w:r>
      <w:r w:rsidRPr="003E577E">
        <w:t>przeprowadzania kontroli oraz wydawania decyzji</w:t>
      </w:r>
      <w:r>
        <w:t xml:space="preserve">, a także </w:t>
      </w:r>
      <w:r w:rsidRPr="003E577E">
        <w:t xml:space="preserve">przeprowadzania oceny ryzyka, o której mowa w art. 24 ust. 2 rozporządzenia </w:t>
      </w:r>
      <w:r>
        <w:t xml:space="preserve">(UE) </w:t>
      </w:r>
      <w:r w:rsidRPr="003E577E">
        <w:t>2017/625.</w:t>
      </w:r>
    </w:p>
    <w:p w14:paraId="5F32249A" w14:textId="6BEF1927" w:rsidR="003641D9" w:rsidRPr="00ED28D0" w:rsidRDefault="003641D9" w:rsidP="003641D9">
      <w:pPr>
        <w:pStyle w:val="ARTartustawynprozporzdzenia"/>
      </w:pPr>
      <w:r w:rsidRPr="003E577E">
        <w:t>Szczegółowy zakres przekazywanych danych oraz terminy i sposób ich przekazywania</w:t>
      </w:r>
      <w:r>
        <w:t xml:space="preserve"> </w:t>
      </w:r>
      <w:r w:rsidRPr="003E577E">
        <w:t>określa porozumienie zawarte między organami administracji rządowej i samorządowej oraz państwowymi jednostkami organizacyjnymi a Głównym Inspektorem Sanitarnym. Planowane jest wystąpienie przez Głównego Inspektora Sanitarnego m.in. do Prezesa Agencji Restrukturyzacji i Modernizacji Rolnictwa o udostępnienie nieodpłatne danych zawartych w krajowym systemie ewidencji producentów, ewidencji gospodarstw rolnych oraz ewidencji wniosków o przyznanie płatności, o którym mowa w art. 2 ustawy z dnia 18 grudnia 2003 r. o krajowym systemie ewidencji producentów, ewidencji gospodarstw rolnych oraz ewidencji wniosków o przyznanie płatności</w:t>
      </w:r>
      <w:r>
        <w:t xml:space="preserve"> (</w:t>
      </w:r>
      <w:r w:rsidRPr="003E577E">
        <w:t>Dz. U. z 2025 r. poz. 865</w:t>
      </w:r>
      <w:r w:rsidR="00EE60BD">
        <w:t xml:space="preserve"> i 1700</w:t>
      </w:r>
      <w:r>
        <w:t>)</w:t>
      </w:r>
      <w:r w:rsidRPr="003E577E">
        <w:t xml:space="preserve">, co pozwoli na objęcie nadzorem Państwowej Inspekcji Sanitarnej </w:t>
      </w:r>
      <w:r>
        <w:t xml:space="preserve">tych </w:t>
      </w:r>
      <w:r w:rsidRPr="003E577E">
        <w:t>producentów pierwotnych</w:t>
      </w:r>
      <w:r>
        <w:t xml:space="preserve"> produkujących żywność pochodzenia niezwierzęcego,</w:t>
      </w:r>
      <w:r w:rsidRPr="003E577E">
        <w:t xml:space="preserve"> którzy nie zgłosili się dotychczas z wnioskiem </w:t>
      </w:r>
      <w:r>
        <w:t xml:space="preserve">wpis do rejestru </w:t>
      </w:r>
      <w:r w:rsidRPr="003E577E">
        <w:t xml:space="preserve">do </w:t>
      </w:r>
      <w:r>
        <w:t xml:space="preserve">właściwego </w:t>
      </w:r>
      <w:r w:rsidRPr="003E577E">
        <w:t>organu</w:t>
      </w:r>
      <w:r>
        <w:t xml:space="preserve"> Inspekcji</w:t>
      </w:r>
      <w:r w:rsidRPr="003E577E">
        <w:t xml:space="preserve">. </w:t>
      </w:r>
    </w:p>
    <w:p w14:paraId="21B30515" w14:textId="77777777" w:rsidR="003641D9" w:rsidRPr="00782826" w:rsidRDefault="003641D9" w:rsidP="003641D9">
      <w:pPr>
        <w:pStyle w:val="ARTartustawynprozporzdzenia"/>
      </w:pPr>
      <w:r w:rsidRPr="00782826">
        <w:lastRenderedPageBreak/>
        <w:t>Dynamiczny rozwój technologiczny oraz związane z nim oczekiwania obywateli wobec jakości i efektywności usług świadczonych przez administrację publiczną uzasadnia przyjęcie przepisów regulujących platformę e-Sanepid oraz SEPIS, które stanowią kompleksowe narzędzie realizacji zadań przez PIS jako instytucję powołaną do przeciwdziałania zagrożeniom zdrowotnym.</w:t>
      </w:r>
      <w:r w:rsidRPr="00341A7D">
        <w:t xml:space="preserve"> </w:t>
      </w:r>
    </w:p>
    <w:p w14:paraId="6BD6C800" w14:textId="77777777" w:rsidR="003641D9" w:rsidRDefault="003641D9" w:rsidP="003641D9">
      <w:pPr>
        <w:pStyle w:val="NIEARTTEKSTtekstnieartykuowanynppodstprawnarozplubpreambua"/>
      </w:pPr>
      <w:r w:rsidRPr="00794558">
        <w:t>Projektowana ustawa będzie miała wpływ na sektor mikroprzedsiębiorstw, małych i średnich przedsiębiorstw oraz na konkurencyjność gospodarki, ponieważ doprecyzowuje procedurę powiadamiania GIS</w:t>
      </w:r>
      <w:r>
        <w:t xml:space="preserve"> </w:t>
      </w:r>
      <w:r w:rsidRPr="00794558">
        <w:t>i tym samym wpływa na prowadzenie działalności związanej z wprowadzeniem po raz pierwszy do obrotu określonych środków spożywczych, w tym suplementów diety.</w:t>
      </w:r>
    </w:p>
    <w:p w14:paraId="29C38BE2" w14:textId="72FAFB34" w:rsidR="003641D9" w:rsidRPr="0048736A" w:rsidRDefault="003641D9" w:rsidP="003641D9">
      <w:pPr>
        <w:pStyle w:val="NIEARTTEKSTtekstnieartykuowanynppodstprawnarozplubpreambua"/>
      </w:pPr>
      <w:r>
        <w:t>Przewiduje się, że u</w:t>
      </w:r>
      <w:r w:rsidRPr="00912B73">
        <w:t>stawa w</w:t>
      </w:r>
      <w:r>
        <w:t xml:space="preserve">ejdzie </w:t>
      </w:r>
      <w:r w:rsidRPr="00912B73">
        <w:t xml:space="preserve">w życie po upływie </w:t>
      </w:r>
      <w:r w:rsidR="00CE0BFE">
        <w:t xml:space="preserve">6 </w:t>
      </w:r>
      <w:r>
        <w:t>miesięcy od dnia ogłoszenia.</w:t>
      </w:r>
    </w:p>
    <w:p w14:paraId="4DDA1586" w14:textId="77777777" w:rsidR="003641D9" w:rsidRPr="00304EA3" w:rsidRDefault="003641D9" w:rsidP="003641D9">
      <w:pPr>
        <w:pStyle w:val="NIEARTTEKSTtekstnieartykuowanynppodstprawnarozplubpreambua"/>
      </w:pPr>
      <w:r w:rsidRPr="00304EA3">
        <w:t>Projekt ustawy nie zawiera przepisów technicznych i nie podlega notyfikacji w rozumieniu przepisów rozporządzenia Rady Ministrów z dnia 23 grudnia 2002 r. w sprawie sposobu funkcjonowania krajowego systemu notyfikacji norm i aktów prawnych (Dz. U. poz. 2039 oraz z 2004 r. poz. 597).</w:t>
      </w:r>
    </w:p>
    <w:p w14:paraId="427886E7" w14:textId="77777777" w:rsidR="003641D9" w:rsidRPr="00304EA3" w:rsidRDefault="003641D9" w:rsidP="003641D9">
      <w:pPr>
        <w:pStyle w:val="NIEARTTEKSTtekstnieartykuowanynppodstprawnarozplubpreambua"/>
      </w:pPr>
      <w:r w:rsidRPr="00304EA3">
        <w:t>Projekt ustawy jest zgodny z prawem Unii Europejskiej i nie wymaga przedstawienia właściwym instytucjom i organom Unii Europejskiej, w tym Europejskiemu Bankowi Centralnemu, celem uzyskania opinii, dokonania powiadomienia, konsultacji albo uzgodnienia projektu.</w:t>
      </w:r>
    </w:p>
    <w:p w14:paraId="24DC21DD" w14:textId="2AB981C9" w:rsidR="003641D9" w:rsidRPr="004A0F2F" w:rsidRDefault="003641D9" w:rsidP="003641D9">
      <w:pPr>
        <w:pStyle w:val="NIEARTTEKSTtekstnieartykuowanynppodstprawnarozplubpreambua"/>
      </w:pPr>
      <w:r w:rsidRPr="00304EA3">
        <w:t>Projekt</w:t>
      </w:r>
      <w:r>
        <w:t xml:space="preserve"> </w:t>
      </w:r>
      <w:r w:rsidRPr="00304EA3">
        <w:t>ustaw</w:t>
      </w:r>
      <w:r>
        <w:t>y</w:t>
      </w:r>
      <w:r w:rsidRPr="00304EA3">
        <w:t xml:space="preserve"> będzie miał wpływ na działalność mikroprzedsiębiorców, małych i średnich przedsiębiorców</w:t>
      </w:r>
      <w:r>
        <w:t>,</w:t>
      </w:r>
      <w:r w:rsidRPr="004A0F2F">
        <w:t xml:space="preserve"> ponieważ wpływa na prowadzenie działalności związanej z wprowadzaniem do obrotu produktów objętych powiadomieniem GIS m.in. suplementów diety. W szczególności projektowane regulacje wprowadzają zmiany w celu usprawnienia procedury powiadamiania GIS o pierwszym prowadzeniu do obrotu określonych środków spożywczych, w tym suplementów diety. </w:t>
      </w:r>
    </w:p>
    <w:p w14:paraId="2C0BDBE0" w14:textId="77777777" w:rsidR="003641D9" w:rsidRPr="00304EA3" w:rsidRDefault="003641D9" w:rsidP="003641D9">
      <w:pPr>
        <w:pStyle w:val="NIEARTTEKSTtekstnieartykuowanynppodstprawnarozplubpreambua"/>
      </w:pPr>
      <w:r w:rsidRPr="004A0F2F">
        <w:t xml:space="preserve">Ponadto projektowana ustawa będzie miała wpływ na sektor mikroprzedsiębiorstw, małych i średnich przedsiębiorstw w zakresie dotyczącym konieczności stosowania SEPIS. SEPIS zapewni podmiotom działającym na rynku spożywczym pakiet spójnych i komplementarnych usług online umożliwiających kompleksowe załatwianie spraw związanych z rejestracją i zatwierdzaniem zakładów podlegających nadzorowi organów PIS. SEPIS ułatwi przedsiębiorcom wywiązywanie się z obowiązków wynikających z prowadzenia </w:t>
      </w:r>
      <w:r w:rsidRPr="004A0F2F">
        <w:lastRenderedPageBreak/>
        <w:t>działalności gospodarczej podlegającej nadzorowi organów PIS. W konsekwencji SEPIS przyczyni się do zmniejszenia obciążeń biurokratycznych dla przedsiębiorców.</w:t>
      </w:r>
    </w:p>
    <w:p w14:paraId="5DFEE9E1" w14:textId="77777777" w:rsidR="003641D9" w:rsidRPr="007C0FA8" w:rsidRDefault="003641D9" w:rsidP="003641D9">
      <w:pPr>
        <w:pStyle w:val="NIEARTTEKSTtekstnieartykuowanynppodstprawnarozplubpreambua"/>
      </w:pPr>
      <w:r w:rsidRPr="007C0FA8">
        <w:t xml:space="preserve">Projekt </w:t>
      </w:r>
      <w:r>
        <w:t xml:space="preserve">ustawy </w:t>
      </w:r>
      <w:r w:rsidRPr="007C0FA8">
        <w:t xml:space="preserve">nie zawiera wymogów nakładanych na usługodawców podlegających notyfikacji, o której mowa w art. 15 ust. 7 </w:t>
      </w:r>
      <w:r>
        <w:t>i</w:t>
      </w:r>
      <w:r w:rsidRPr="007C0FA8">
        <w:t xml:space="preserve"> art. 39 ust. 5 dyrektywy 2006/123/WE Parlamentu Europejskiego i Rady z dnia 12 grudnia 2006 r. dotyczącej usług na rynku wewnętrzny</w:t>
      </w:r>
      <w:r>
        <w:t>m</w:t>
      </w:r>
      <w:r w:rsidRPr="007C0FA8">
        <w:t xml:space="preserve"> (Dz. Urz. UE L 376, str. 36).</w:t>
      </w:r>
    </w:p>
    <w:p w14:paraId="175F3DD9" w14:textId="77777777" w:rsidR="003641D9" w:rsidRPr="001C6949" w:rsidRDefault="003641D9" w:rsidP="003641D9">
      <w:pPr>
        <w:pStyle w:val="NIEARTTEKSTtekstnieartykuowanynppodstprawnarozplubpreambua"/>
      </w:pPr>
      <w:r w:rsidRPr="001C6949">
        <w:t xml:space="preserve">Projekt </w:t>
      </w:r>
      <w:r>
        <w:t>ustawy</w:t>
      </w:r>
      <w:r w:rsidRPr="001C6949">
        <w:t xml:space="preserve"> wywiera wpływ na obszar danych osobowych. W związku z tym </w:t>
      </w:r>
      <w:r>
        <w:t>dokonano</w:t>
      </w:r>
      <w:r w:rsidRPr="001C6949">
        <w:t xml:space="preserve"> ocen</w:t>
      </w:r>
      <w:r>
        <w:t>y</w:t>
      </w:r>
      <w:r w:rsidRPr="001C6949">
        <w:t xml:space="preserve"> skutków </w:t>
      </w:r>
      <w:r w:rsidRPr="00E27963">
        <w:t>planowanych operacji przetwarzania</w:t>
      </w:r>
      <w:r>
        <w:t xml:space="preserve"> danych na podstawie </w:t>
      </w:r>
      <w:r w:rsidRPr="00E27963">
        <w:t xml:space="preserve">wprowadzanych regulacji dla </w:t>
      </w:r>
      <w:r w:rsidRPr="001C6949">
        <w:t>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p w14:paraId="3BD470E5" w14:textId="77777777" w:rsidR="003641D9" w:rsidRPr="00304EA3" w:rsidRDefault="003641D9" w:rsidP="003641D9">
      <w:pPr>
        <w:pStyle w:val="NIEARTTEKSTtekstnieartykuowanynppodstprawnarozplubpreambua"/>
      </w:pPr>
      <w:r w:rsidRPr="00304EA3">
        <w:t>Jednocześnie należy wskazać, że nie istnieją alternatywne środki w stosunku do projektowanej ustawy umożliwiające osiągniecie zamierzonego celu.</w:t>
      </w:r>
    </w:p>
    <w:p w14:paraId="47971344" w14:textId="77777777" w:rsidR="00F675BD" w:rsidRDefault="00F675BD"/>
    <w:sectPr w:rsidR="00F675BD" w:rsidSect="003641D9">
      <w:headerReference w:type="default" r:id="rId6"/>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D1A3" w14:textId="77777777" w:rsidR="00EE369A" w:rsidRDefault="00EE369A">
      <w:pPr>
        <w:spacing w:line="240" w:lineRule="auto"/>
      </w:pPr>
      <w:r>
        <w:separator/>
      </w:r>
    </w:p>
  </w:endnote>
  <w:endnote w:type="continuationSeparator" w:id="0">
    <w:p w14:paraId="393403B1" w14:textId="77777777" w:rsidR="00EE369A" w:rsidRDefault="00EE3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5B14" w14:textId="77777777" w:rsidR="00EE369A" w:rsidRDefault="00EE369A">
      <w:pPr>
        <w:spacing w:line="240" w:lineRule="auto"/>
      </w:pPr>
      <w:r>
        <w:separator/>
      </w:r>
    </w:p>
  </w:footnote>
  <w:footnote w:type="continuationSeparator" w:id="0">
    <w:p w14:paraId="1CA5ED8F" w14:textId="77777777" w:rsidR="00EE369A" w:rsidRDefault="00EE36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CA78" w14:textId="77777777" w:rsidR="003641D9" w:rsidRPr="00B371CC" w:rsidRDefault="003641D9" w:rsidP="00B371CC">
    <w:pPr>
      <w:pStyle w:val="Nagwek"/>
      <w:jc w:val="center"/>
    </w:pPr>
    <w:r>
      <w:t xml:space="preserve">– </w:t>
    </w:r>
    <w:r>
      <w:fldChar w:fldCharType="begin"/>
    </w:r>
    <w:r>
      <w:instrText xml:space="preserve"> PAGE  \* MERGEFORMAT </w:instrText>
    </w:r>
    <w:r>
      <w:fldChar w:fldCharType="separate"/>
    </w:r>
    <w:r>
      <w:rPr>
        <w:noProof/>
      </w:rPr>
      <w:t>5</w:t>
    </w:r>
    <w:r>
      <w:rPr>
        <w:noProof/>
      </w:rPr>
      <w:fldChar w:fldCharType="end"/>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1D9"/>
    <w:rsid w:val="0004644E"/>
    <w:rsid w:val="0006342E"/>
    <w:rsid w:val="00076270"/>
    <w:rsid w:val="000B4F34"/>
    <w:rsid w:val="00183D5A"/>
    <w:rsid w:val="001A6568"/>
    <w:rsid w:val="00327DEC"/>
    <w:rsid w:val="003641D9"/>
    <w:rsid w:val="00374A17"/>
    <w:rsid w:val="00376E12"/>
    <w:rsid w:val="003B1D10"/>
    <w:rsid w:val="003F5D8A"/>
    <w:rsid w:val="00435093"/>
    <w:rsid w:val="004722DE"/>
    <w:rsid w:val="004B22A0"/>
    <w:rsid w:val="004C5F5C"/>
    <w:rsid w:val="00504366"/>
    <w:rsid w:val="0055347B"/>
    <w:rsid w:val="005D6AF7"/>
    <w:rsid w:val="00737753"/>
    <w:rsid w:val="00772BA3"/>
    <w:rsid w:val="00787BFA"/>
    <w:rsid w:val="007909A4"/>
    <w:rsid w:val="007A401D"/>
    <w:rsid w:val="009412E7"/>
    <w:rsid w:val="00956CBC"/>
    <w:rsid w:val="00970DC2"/>
    <w:rsid w:val="00985020"/>
    <w:rsid w:val="009B3CB5"/>
    <w:rsid w:val="00AD3EDF"/>
    <w:rsid w:val="00B92BF1"/>
    <w:rsid w:val="00BB3809"/>
    <w:rsid w:val="00BC7C18"/>
    <w:rsid w:val="00C23392"/>
    <w:rsid w:val="00C25637"/>
    <w:rsid w:val="00CD2AF7"/>
    <w:rsid w:val="00CE0BFE"/>
    <w:rsid w:val="00D764DF"/>
    <w:rsid w:val="00DE556A"/>
    <w:rsid w:val="00E209EB"/>
    <w:rsid w:val="00E33F1F"/>
    <w:rsid w:val="00E649D4"/>
    <w:rsid w:val="00EA07F9"/>
    <w:rsid w:val="00EE369A"/>
    <w:rsid w:val="00EE60BD"/>
    <w:rsid w:val="00EF6D15"/>
    <w:rsid w:val="00F675BD"/>
    <w:rsid w:val="00FC6413"/>
    <w:rsid w:val="00FD0E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D433"/>
  <w15:chartTrackingRefBased/>
  <w15:docId w15:val="{0CE91001-36CA-4D8F-A969-EC26A13B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41D9"/>
    <w:pPr>
      <w:widowControl w:val="0"/>
      <w:autoSpaceDE w:val="0"/>
      <w:autoSpaceDN w:val="0"/>
      <w:adjustRightInd w:val="0"/>
      <w:spacing w:after="0" w:line="360" w:lineRule="auto"/>
    </w:pPr>
    <w:rPr>
      <w:rFonts w:ascii="Times New Roman" w:eastAsiaTheme="minorEastAsia" w:hAnsi="Times New Roman" w:cs="Arial"/>
      <w:kern w:val="0"/>
      <w:sz w:val="24"/>
      <w:szCs w:val="20"/>
      <w:lang w:eastAsia="pl-PL"/>
      <w14:ligatures w14:val="none"/>
    </w:rPr>
  </w:style>
  <w:style w:type="paragraph" w:styleId="Nagwek1">
    <w:name w:val="heading 1"/>
    <w:basedOn w:val="Normalny"/>
    <w:next w:val="Normalny"/>
    <w:link w:val="Nagwek1Znak"/>
    <w:uiPriority w:val="9"/>
    <w:qFormat/>
    <w:rsid w:val="003641D9"/>
    <w:pPr>
      <w:keepNext/>
      <w:keepLines/>
      <w:widowControl/>
      <w:autoSpaceDE/>
      <w:autoSpaceDN/>
      <w:adjustRightInd/>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3641D9"/>
    <w:pPr>
      <w:keepNext/>
      <w:keepLines/>
      <w:widowControl/>
      <w:autoSpaceDE/>
      <w:autoSpaceDN/>
      <w:adjustRightInd/>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3641D9"/>
    <w:pPr>
      <w:keepNext/>
      <w:keepLines/>
      <w:widowControl/>
      <w:autoSpaceDE/>
      <w:autoSpaceDN/>
      <w:adjustRightInd/>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3641D9"/>
    <w:pPr>
      <w:keepNext/>
      <w:keepLines/>
      <w:widowControl/>
      <w:autoSpaceDE/>
      <w:autoSpaceDN/>
      <w:adjustRightInd/>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3641D9"/>
    <w:pPr>
      <w:keepNext/>
      <w:keepLines/>
      <w:widowControl/>
      <w:autoSpaceDE/>
      <w:autoSpaceDN/>
      <w:adjustRightInd/>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3641D9"/>
    <w:pPr>
      <w:keepNext/>
      <w:keepLines/>
      <w:widowControl/>
      <w:autoSpaceDE/>
      <w:autoSpaceDN/>
      <w:adjustRightInd/>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3641D9"/>
    <w:pPr>
      <w:keepNext/>
      <w:keepLines/>
      <w:widowControl/>
      <w:autoSpaceDE/>
      <w:autoSpaceDN/>
      <w:adjustRightInd/>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3641D9"/>
    <w:pPr>
      <w:keepNext/>
      <w:keepLines/>
      <w:widowControl/>
      <w:autoSpaceDE/>
      <w:autoSpaceDN/>
      <w:adjustRightInd/>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3641D9"/>
    <w:pPr>
      <w:keepNext/>
      <w:keepLines/>
      <w:widowControl/>
      <w:autoSpaceDE/>
      <w:autoSpaceDN/>
      <w:adjustRightInd/>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641D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641D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641D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641D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641D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641D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641D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641D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641D9"/>
    <w:rPr>
      <w:rFonts w:eastAsiaTheme="majorEastAsia" w:cstheme="majorBidi"/>
      <w:color w:val="272727" w:themeColor="text1" w:themeTint="D8"/>
    </w:rPr>
  </w:style>
  <w:style w:type="paragraph" w:styleId="Tytu">
    <w:name w:val="Title"/>
    <w:basedOn w:val="Normalny"/>
    <w:next w:val="Normalny"/>
    <w:link w:val="TytuZnak"/>
    <w:uiPriority w:val="10"/>
    <w:qFormat/>
    <w:rsid w:val="003641D9"/>
    <w:pPr>
      <w:widowControl/>
      <w:autoSpaceDE/>
      <w:autoSpaceDN/>
      <w:adjustRightInd/>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3641D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641D9"/>
    <w:pPr>
      <w:widowControl/>
      <w:numPr>
        <w:ilvl w:val="1"/>
      </w:numPr>
      <w:autoSpaceDE/>
      <w:autoSpaceDN/>
      <w:adjustRightInd/>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3641D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641D9"/>
    <w:pPr>
      <w:widowControl/>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3641D9"/>
    <w:rPr>
      <w:i/>
      <w:iCs/>
      <w:color w:val="404040" w:themeColor="text1" w:themeTint="BF"/>
    </w:rPr>
  </w:style>
  <w:style w:type="paragraph" w:styleId="Akapitzlist">
    <w:name w:val="List Paragraph"/>
    <w:basedOn w:val="Normalny"/>
    <w:uiPriority w:val="34"/>
    <w:qFormat/>
    <w:rsid w:val="003641D9"/>
    <w:pPr>
      <w:widowControl/>
      <w:autoSpaceDE/>
      <w:autoSpaceDN/>
      <w:adjustRightInd/>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Wyrnienieintensywne">
    <w:name w:val="Intense Emphasis"/>
    <w:basedOn w:val="Domylnaczcionkaakapitu"/>
    <w:uiPriority w:val="21"/>
    <w:qFormat/>
    <w:rsid w:val="003641D9"/>
    <w:rPr>
      <w:i/>
      <w:iCs/>
      <w:color w:val="0F4761" w:themeColor="accent1" w:themeShade="BF"/>
    </w:rPr>
  </w:style>
  <w:style w:type="paragraph" w:styleId="Cytatintensywny">
    <w:name w:val="Intense Quote"/>
    <w:basedOn w:val="Normalny"/>
    <w:next w:val="Normalny"/>
    <w:link w:val="CytatintensywnyZnak"/>
    <w:uiPriority w:val="30"/>
    <w:qFormat/>
    <w:rsid w:val="003641D9"/>
    <w:pPr>
      <w:widowControl/>
      <w:pBdr>
        <w:top w:val="single" w:sz="4" w:space="10" w:color="0F4761" w:themeColor="accent1" w:themeShade="BF"/>
        <w:bottom w:val="single" w:sz="4" w:space="10" w:color="0F4761" w:themeColor="accent1" w:themeShade="BF"/>
      </w:pBdr>
      <w:autoSpaceDE/>
      <w:autoSpaceDN/>
      <w:adjustRightInd/>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3641D9"/>
    <w:rPr>
      <w:i/>
      <w:iCs/>
      <w:color w:val="0F4761" w:themeColor="accent1" w:themeShade="BF"/>
    </w:rPr>
  </w:style>
  <w:style w:type="character" w:styleId="Odwoanieintensywne">
    <w:name w:val="Intense Reference"/>
    <w:basedOn w:val="Domylnaczcionkaakapitu"/>
    <w:uiPriority w:val="32"/>
    <w:qFormat/>
    <w:rsid w:val="003641D9"/>
    <w:rPr>
      <w:b/>
      <w:bCs/>
      <w:smallCaps/>
      <w:color w:val="0F4761" w:themeColor="accent1" w:themeShade="BF"/>
      <w:spacing w:val="5"/>
    </w:rPr>
  </w:style>
  <w:style w:type="paragraph" w:styleId="Nagwek">
    <w:name w:val="header"/>
    <w:basedOn w:val="Normalny"/>
    <w:link w:val="NagwekZnak"/>
    <w:uiPriority w:val="99"/>
    <w:semiHidden/>
    <w:rsid w:val="003641D9"/>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basedOn w:val="Domylnaczcionkaakapitu"/>
    <w:link w:val="Nagwek"/>
    <w:uiPriority w:val="99"/>
    <w:semiHidden/>
    <w:rsid w:val="003641D9"/>
    <w:rPr>
      <w:rFonts w:ascii="Times" w:eastAsia="Times New Roman" w:hAnsi="Times" w:cs="Times New Roman"/>
      <w:kern w:val="1"/>
      <w:sz w:val="24"/>
      <w:szCs w:val="24"/>
      <w:lang w:eastAsia="ar-SA"/>
      <w14:ligatures w14:val="none"/>
    </w:rPr>
  </w:style>
  <w:style w:type="paragraph" w:customStyle="1" w:styleId="ARTartustawynprozporzdzenia">
    <w:name w:val="ART(§) – art. ustawy (§ np. rozporządzenia)"/>
    <w:uiPriority w:val="11"/>
    <w:qFormat/>
    <w:rsid w:val="003641D9"/>
    <w:pPr>
      <w:suppressAutoHyphens/>
      <w:autoSpaceDE w:val="0"/>
      <w:autoSpaceDN w:val="0"/>
      <w:adjustRightInd w:val="0"/>
      <w:spacing w:before="120" w:after="0" w:line="360" w:lineRule="auto"/>
      <w:ind w:firstLine="510"/>
      <w:jc w:val="both"/>
    </w:pPr>
    <w:rPr>
      <w:rFonts w:ascii="Times" w:eastAsiaTheme="minorEastAsia" w:hAnsi="Times" w:cs="Arial"/>
      <w:kern w:val="0"/>
      <w:sz w:val="24"/>
      <w:szCs w:val="20"/>
      <w:lang w:eastAsia="pl-PL"/>
      <w14:ligatures w14:val="none"/>
    </w:rPr>
  </w:style>
  <w:style w:type="paragraph" w:customStyle="1" w:styleId="TYTUAKTUprzedmiotregulacjiustawylubrozporzdzenia">
    <w:name w:val="TYTUŁ_AKTU – przedmiot regulacji ustawy lub rozporządzenia"/>
    <w:next w:val="ARTartustawynprozporzdzenia"/>
    <w:uiPriority w:val="6"/>
    <w:qFormat/>
    <w:rsid w:val="003641D9"/>
    <w:pPr>
      <w:keepNext/>
      <w:suppressAutoHyphens/>
      <w:spacing w:before="120" w:after="360" w:line="360" w:lineRule="auto"/>
      <w:jc w:val="center"/>
    </w:pPr>
    <w:rPr>
      <w:rFonts w:ascii="Times" w:eastAsiaTheme="minorEastAsia" w:hAnsi="Times" w:cs="Arial"/>
      <w:b/>
      <w:bCs/>
      <w:kern w:val="0"/>
      <w:sz w:val="24"/>
      <w:szCs w:val="24"/>
      <w:lang w:eastAsia="pl-PL"/>
      <w14:ligatures w14:val="none"/>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3641D9"/>
    <w:rPr>
      <w:bCs/>
    </w:rPr>
  </w:style>
  <w:style w:type="paragraph" w:styleId="Poprawka">
    <w:name w:val="Revision"/>
    <w:hidden/>
    <w:uiPriority w:val="99"/>
    <w:semiHidden/>
    <w:rsid w:val="00C25637"/>
    <w:pPr>
      <w:spacing w:after="0" w:line="240" w:lineRule="auto"/>
    </w:pPr>
    <w:rPr>
      <w:rFonts w:ascii="Times New Roman" w:eastAsiaTheme="minorEastAsia" w:hAnsi="Times New Roman" w:cs="Arial"/>
      <w:kern w:val="0"/>
      <w:sz w:val="24"/>
      <w:szCs w:val="20"/>
      <w:lang w:eastAsia="pl-PL"/>
      <w14:ligatures w14:val="none"/>
    </w:rPr>
  </w:style>
  <w:style w:type="character" w:styleId="Odwoaniedokomentarza">
    <w:name w:val="annotation reference"/>
    <w:basedOn w:val="Domylnaczcionkaakapitu"/>
    <w:uiPriority w:val="99"/>
    <w:semiHidden/>
    <w:unhideWhenUsed/>
    <w:rsid w:val="00E33F1F"/>
    <w:rPr>
      <w:sz w:val="16"/>
      <w:szCs w:val="16"/>
    </w:rPr>
  </w:style>
  <w:style w:type="paragraph" w:styleId="Tekstkomentarza">
    <w:name w:val="annotation text"/>
    <w:basedOn w:val="Normalny"/>
    <w:link w:val="TekstkomentarzaZnak"/>
    <w:uiPriority w:val="99"/>
    <w:unhideWhenUsed/>
    <w:rsid w:val="00E33F1F"/>
    <w:pPr>
      <w:spacing w:line="240" w:lineRule="auto"/>
    </w:pPr>
    <w:rPr>
      <w:sz w:val="20"/>
    </w:rPr>
  </w:style>
  <w:style w:type="character" w:customStyle="1" w:styleId="TekstkomentarzaZnak">
    <w:name w:val="Tekst komentarza Znak"/>
    <w:basedOn w:val="Domylnaczcionkaakapitu"/>
    <w:link w:val="Tekstkomentarza"/>
    <w:uiPriority w:val="99"/>
    <w:rsid w:val="00E33F1F"/>
    <w:rPr>
      <w:rFonts w:ascii="Times New Roman" w:eastAsiaTheme="minorEastAsia" w:hAnsi="Times New Roman" w:cs="Arial"/>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E33F1F"/>
    <w:rPr>
      <w:b/>
      <w:bCs/>
    </w:rPr>
  </w:style>
  <w:style w:type="character" w:customStyle="1" w:styleId="TematkomentarzaZnak">
    <w:name w:val="Temat komentarza Znak"/>
    <w:basedOn w:val="TekstkomentarzaZnak"/>
    <w:link w:val="Tematkomentarza"/>
    <w:uiPriority w:val="99"/>
    <w:semiHidden/>
    <w:rsid w:val="00E33F1F"/>
    <w:rPr>
      <w:rFonts w:ascii="Times New Roman" w:eastAsiaTheme="minorEastAsia" w:hAnsi="Times New Roman" w:cs="Arial"/>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6523</Words>
  <Characters>39144</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 DP</dc:creator>
  <cp:keywords/>
  <dc:description/>
  <cp:lastModifiedBy>GIS DP</cp:lastModifiedBy>
  <cp:revision>2</cp:revision>
  <dcterms:created xsi:type="dcterms:W3CDTF">2026-04-23T16:20:00Z</dcterms:created>
  <dcterms:modified xsi:type="dcterms:W3CDTF">2026-04-23T16:20:00Z</dcterms:modified>
</cp:coreProperties>
</file>